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CD" w:rsidRPr="002A5981" w:rsidRDefault="00E109CD" w:rsidP="003C075A">
      <w:pPr>
        <w:jc w:val="center"/>
        <w:rPr>
          <w:rFonts w:ascii="Myriad Pro" w:hAnsi="Myriad Pro"/>
          <w:b/>
          <w:sz w:val="22"/>
          <w:szCs w:val="22"/>
          <w:u w:val="single"/>
          <w:lang w:val="mk-MK"/>
        </w:rPr>
      </w:pPr>
    </w:p>
    <w:p w:rsidR="003C075A" w:rsidRPr="002A5981" w:rsidRDefault="003C075A" w:rsidP="003C075A">
      <w:pPr>
        <w:jc w:val="center"/>
        <w:rPr>
          <w:rFonts w:ascii="Myriad Pro" w:hAnsi="Myriad Pro"/>
          <w:b/>
          <w:sz w:val="22"/>
          <w:szCs w:val="22"/>
          <w:u w:val="single"/>
          <w:lang w:val="mk-MK"/>
        </w:rPr>
      </w:pPr>
      <w:r w:rsidRPr="002A5981">
        <w:rPr>
          <w:rFonts w:ascii="Myriad Pro" w:hAnsi="Myriad Pro"/>
          <w:b/>
          <w:sz w:val="22"/>
          <w:szCs w:val="22"/>
          <w:u w:val="single"/>
          <w:lang w:val="mk-MK"/>
        </w:rPr>
        <w:t>ДОГОВОР</w:t>
      </w:r>
    </w:p>
    <w:p w:rsidR="003C075A" w:rsidRPr="002A5981" w:rsidRDefault="003C075A" w:rsidP="003C075A">
      <w:pPr>
        <w:jc w:val="center"/>
        <w:rPr>
          <w:rFonts w:ascii="Myriad Pro" w:hAnsi="Myriad Pro"/>
          <w:b/>
          <w:sz w:val="22"/>
          <w:szCs w:val="22"/>
          <w:u w:val="single"/>
          <w:lang w:val="mk-MK"/>
        </w:rPr>
      </w:pPr>
    </w:p>
    <w:p w:rsidR="00FD432D" w:rsidRPr="002A5981" w:rsidRDefault="003C075A" w:rsidP="003C075A">
      <w:pPr>
        <w:jc w:val="center"/>
        <w:rPr>
          <w:rFonts w:ascii="Myriad Pro" w:hAnsi="Myriad Pro"/>
          <w:b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 xml:space="preserve">за набавка на </w:t>
      </w:r>
      <w:proofErr w:type="spellStart"/>
      <w:r w:rsidRPr="002A5981">
        <w:rPr>
          <w:rFonts w:ascii="Myriad Pro" w:hAnsi="Myriad Pro"/>
          <w:b/>
          <w:sz w:val="22"/>
          <w:szCs w:val="22"/>
        </w:rPr>
        <w:t>aFRR</w:t>
      </w:r>
      <w:proofErr w:type="spellEnd"/>
      <w:r w:rsidRPr="002A5981">
        <w:rPr>
          <w:rFonts w:ascii="Myriad Pro" w:hAnsi="Myriad Pro"/>
          <w:b/>
          <w:sz w:val="22"/>
          <w:szCs w:val="22"/>
        </w:rPr>
        <w:t xml:space="preserve"> </w:t>
      </w:r>
      <w:r w:rsidRPr="002A5981">
        <w:rPr>
          <w:rFonts w:ascii="Myriad Pro" w:hAnsi="Myriad Pro"/>
          <w:b/>
          <w:sz w:val="22"/>
          <w:szCs w:val="22"/>
          <w:lang w:val="mk-MK"/>
        </w:rPr>
        <w:t>балансен капацитет и балансна енергија</w:t>
      </w:r>
    </w:p>
    <w:p w:rsidR="00117725" w:rsidRPr="002A5981" w:rsidRDefault="00117725" w:rsidP="003C075A">
      <w:pPr>
        <w:jc w:val="center"/>
        <w:rPr>
          <w:rFonts w:ascii="Myriad Pro" w:hAnsi="Myriad Pro"/>
          <w:b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>за месец _____________ 2021 година</w:t>
      </w:r>
    </w:p>
    <w:p w:rsidR="003C075A" w:rsidRPr="002A5981" w:rsidRDefault="003C075A" w:rsidP="003C075A">
      <w:pPr>
        <w:jc w:val="center"/>
        <w:rPr>
          <w:rFonts w:ascii="Myriad Pro" w:hAnsi="Myriad Pro"/>
          <w:b/>
          <w:sz w:val="22"/>
          <w:szCs w:val="22"/>
          <w:lang w:val="mk-MK"/>
        </w:rPr>
      </w:pPr>
    </w:p>
    <w:p w:rsidR="00E109CD" w:rsidRPr="002A5981" w:rsidRDefault="00E109CD" w:rsidP="003C075A">
      <w:pPr>
        <w:jc w:val="center"/>
        <w:rPr>
          <w:rFonts w:ascii="Myriad Pro" w:hAnsi="Myriad Pro"/>
          <w:b/>
          <w:sz w:val="22"/>
          <w:szCs w:val="22"/>
          <w:lang w:val="mk-MK"/>
        </w:rPr>
      </w:pPr>
    </w:p>
    <w:p w:rsidR="003C075A" w:rsidRPr="002A5981" w:rsidRDefault="003C075A" w:rsidP="003C075A">
      <w:pPr>
        <w:ind w:left="-284" w:right="-767" w:hanging="283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>Склучен помеѓу</w:t>
      </w:r>
      <w:r w:rsidRPr="002A5981">
        <w:rPr>
          <w:rFonts w:ascii="Myriad Pro" w:hAnsi="Myriad Pro"/>
          <w:sz w:val="22"/>
          <w:szCs w:val="22"/>
          <w:lang w:val="mk-MK"/>
        </w:rPr>
        <w:t>:</w:t>
      </w:r>
    </w:p>
    <w:p w:rsidR="003C075A" w:rsidRPr="002A5981" w:rsidRDefault="003C075A" w:rsidP="00152CCA">
      <w:pPr>
        <w:numPr>
          <w:ilvl w:val="0"/>
          <w:numId w:val="1"/>
        </w:numPr>
        <w:ind w:left="284" w:right="-46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>Оператор на електропреносниот систем на Македонија – Акционерско друштво за пренос на електрична енергија и управување со електроенергетскиот систем на Р</w:t>
      </w:r>
      <w:r w:rsidR="00E109CD" w:rsidRPr="002A5981">
        <w:rPr>
          <w:rFonts w:ascii="Myriad Pro" w:hAnsi="Myriad Pro"/>
          <w:sz w:val="22"/>
          <w:szCs w:val="22"/>
          <w:lang w:val="mk-MK"/>
        </w:rPr>
        <w:t>епублика</w:t>
      </w:r>
      <w:r w:rsidRPr="002A5981">
        <w:rPr>
          <w:rFonts w:ascii="Myriad Pro" w:hAnsi="Myriad Pro"/>
          <w:sz w:val="22"/>
          <w:szCs w:val="22"/>
          <w:lang w:val="mk-MK"/>
        </w:rPr>
        <w:t xml:space="preserve"> Северна Македонија во државна сопственост Скопје, ул. Максим Горки бр.4,  Скопје, застапувано од Генералниот директор на АД МЕПСО </w:t>
      </w:r>
      <w:r w:rsidR="00AB797D" w:rsidRPr="002A5981">
        <w:rPr>
          <w:rFonts w:ascii="Myriad Pro" w:hAnsi="Myriad Pro"/>
          <w:sz w:val="22"/>
          <w:szCs w:val="22"/>
        </w:rPr>
        <w:t>Kushtrim Ramadani</w:t>
      </w:r>
      <w:r w:rsidRPr="002A5981">
        <w:rPr>
          <w:rFonts w:ascii="Myriad Pro" w:hAnsi="Myriad Pro"/>
          <w:sz w:val="22"/>
          <w:szCs w:val="22"/>
          <w:lang w:val="mk-MK"/>
        </w:rPr>
        <w:t xml:space="preserve">, </w:t>
      </w:r>
      <w:r w:rsidR="00E273FA" w:rsidRPr="002A5981">
        <w:rPr>
          <w:rFonts w:ascii="Myriad Pro" w:hAnsi="Myriad Pro"/>
          <w:sz w:val="22"/>
          <w:szCs w:val="22"/>
          <w:lang w:val="mk-MK"/>
        </w:rPr>
        <w:t xml:space="preserve">во натамошниот текст АД МЕПСО </w:t>
      </w:r>
      <w:r w:rsidRPr="002A5981">
        <w:rPr>
          <w:rFonts w:ascii="Myriad Pro" w:hAnsi="Myriad Pro"/>
          <w:sz w:val="22"/>
          <w:szCs w:val="22"/>
          <w:lang w:val="mk-MK"/>
        </w:rPr>
        <w:t>од една страна</w:t>
      </w:r>
      <w:r w:rsidR="00E109CD" w:rsidRPr="002A5981">
        <w:rPr>
          <w:rFonts w:ascii="Myriad Pro" w:hAnsi="Myriad Pro"/>
          <w:sz w:val="22"/>
          <w:szCs w:val="22"/>
          <w:lang w:val="mk-MK"/>
        </w:rPr>
        <w:t>,</w:t>
      </w:r>
      <w:r w:rsidRPr="002A5981">
        <w:rPr>
          <w:rFonts w:ascii="Myriad Pro" w:hAnsi="Myriad Pro"/>
          <w:sz w:val="22"/>
          <w:szCs w:val="22"/>
          <w:lang w:val="mk-MK"/>
        </w:rPr>
        <w:t xml:space="preserve"> и</w:t>
      </w:r>
    </w:p>
    <w:p w:rsidR="003C075A" w:rsidRPr="002A5981" w:rsidRDefault="003C075A" w:rsidP="00152CCA">
      <w:pPr>
        <w:ind w:left="-207" w:right="-46"/>
        <w:jc w:val="both"/>
        <w:rPr>
          <w:rFonts w:ascii="Myriad Pro" w:hAnsi="Myriad Pro"/>
          <w:sz w:val="22"/>
          <w:szCs w:val="22"/>
          <w:lang w:val="mk-MK"/>
        </w:rPr>
      </w:pPr>
    </w:p>
    <w:p w:rsidR="003C075A" w:rsidRPr="002A5981" w:rsidRDefault="003C075A" w:rsidP="00152CCA">
      <w:pPr>
        <w:ind w:left="284" w:right="-46" w:hanging="425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2.__________________________________________________, застапувано од Управител ___________________, во натамошниот текст </w:t>
      </w:r>
      <w:r w:rsidR="00E273FA" w:rsidRPr="002A5981">
        <w:rPr>
          <w:rFonts w:ascii="Myriad Pro" w:hAnsi="Myriad Pro"/>
          <w:sz w:val="22"/>
          <w:szCs w:val="22"/>
          <w:lang w:val="mk-MK"/>
        </w:rPr>
        <w:t>Давател на услуги за балансирање (</w:t>
      </w:r>
      <w:r w:rsidR="00E273FA" w:rsidRPr="002A5981">
        <w:rPr>
          <w:rFonts w:ascii="Myriad Pro" w:hAnsi="Myriad Pro"/>
          <w:sz w:val="22"/>
          <w:szCs w:val="22"/>
        </w:rPr>
        <w:t>BSP</w:t>
      </w:r>
      <w:r w:rsidR="00E273FA" w:rsidRPr="002A5981">
        <w:rPr>
          <w:rFonts w:ascii="Myriad Pro" w:hAnsi="Myriad Pro"/>
          <w:sz w:val="22"/>
          <w:szCs w:val="22"/>
          <w:lang w:val="mk-MK"/>
        </w:rPr>
        <w:t>)</w:t>
      </w:r>
      <w:r w:rsidRPr="002A5981">
        <w:rPr>
          <w:rFonts w:ascii="Myriad Pro" w:hAnsi="Myriad Pro"/>
          <w:sz w:val="22"/>
          <w:szCs w:val="22"/>
          <w:lang w:val="mk-MK"/>
        </w:rPr>
        <w:t>, од друга страна.</w:t>
      </w:r>
    </w:p>
    <w:p w:rsidR="00E109CD" w:rsidRPr="002A5981" w:rsidRDefault="00E109CD" w:rsidP="003C075A">
      <w:pPr>
        <w:jc w:val="center"/>
        <w:rPr>
          <w:rFonts w:ascii="Myriad Pro" w:hAnsi="Myriad Pro"/>
          <w:sz w:val="22"/>
          <w:szCs w:val="22"/>
          <w:lang w:val="mk-MK"/>
        </w:rPr>
      </w:pPr>
    </w:p>
    <w:p w:rsidR="00217592" w:rsidRPr="002A5981" w:rsidRDefault="00217592" w:rsidP="003C075A">
      <w:pPr>
        <w:jc w:val="center"/>
        <w:rPr>
          <w:rFonts w:ascii="Myriad Pro" w:hAnsi="Myriad Pro"/>
          <w:sz w:val="22"/>
          <w:szCs w:val="22"/>
          <w:lang w:val="mk-MK"/>
        </w:rPr>
      </w:pPr>
    </w:p>
    <w:p w:rsidR="00FB2E60" w:rsidRPr="002A5981" w:rsidRDefault="00FB2E60" w:rsidP="00152CCA">
      <w:pPr>
        <w:spacing w:after="120"/>
        <w:jc w:val="center"/>
        <w:rPr>
          <w:rFonts w:ascii="Myriad Pro" w:hAnsi="Myriad Pro"/>
          <w:b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>Предмет на Договорот</w:t>
      </w:r>
    </w:p>
    <w:p w:rsidR="00217592" w:rsidRPr="002A5981" w:rsidRDefault="00217592" w:rsidP="008E303E">
      <w:pPr>
        <w:spacing w:after="120"/>
        <w:jc w:val="center"/>
        <w:rPr>
          <w:rFonts w:ascii="Myriad Pro" w:hAnsi="Myriad Pro"/>
          <w:b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>Член 1</w:t>
      </w:r>
    </w:p>
    <w:p w:rsidR="00217592" w:rsidRPr="002A5981" w:rsidRDefault="00217592" w:rsidP="00217592">
      <w:p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Предмет на овој договор е набавка на </w:t>
      </w:r>
      <w:r w:rsidRPr="002A5981">
        <w:rPr>
          <w:rFonts w:ascii="Myriad Pro" w:hAnsi="Myriad Pro"/>
          <w:b/>
          <w:sz w:val="22"/>
          <w:szCs w:val="22"/>
          <w:lang w:val="mk-MK"/>
        </w:rPr>
        <w:t xml:space="preserve">aFRR балансен капацитет и балансна енергија за потребите на </w:t>
      </w:r>
      <w:r w:rsidR="00025036" w:rsidRPr="002A5981">
        <w:rPr>
          <w:rFonts w:ascii="Myriad Pro" w:hAnsi="Myriad Pro"/>
          <w:b/>
          <w:sz w:val="22"/>
          <w:szCs w:val="22"/>
          <w:lang w:val="mk-MK"/>
        </w:rPr>
        <w:t xml:space="preserve">АД </w:t>
      </w:r>
      <w:r w:rsidRPr="002A5981">
        <w:rPr>
          <w:rFonts w:ascii="Myriad Pro" w:hAnsi="Myriad Pro"/>
          <w:b/>
          <w:sz w:val="22"/>
          <w:szCs w:val="22"/>
          <w:lang w:val="mk-MK"/>
        </w:rPr>
        <w:t xml:space="preserve">МЕПСО </w:t>
      </w:r>
      <w:r w:rsidR="00E109CD" w:rsidRPr="002A5981">
        <w:rPr>
          <w:rFonts w:ascii="Myriad Pro" w:hAnsi="Myriad Pro"/>
          <w:b/>
          <w:sz w:val="22"/>
          <w:szCs w:val="22"/>
          <w:lang w:val="mk-MK"/>
        </w:rPr>
        <w:t xml:space="preserve">за месец ___________, </w:t>
      </w:r>
      <w:r w:rsidRPr="002A5981">
        <w:rPr>
          <w:rFonts w:ascii="Myriad Pro" w:hAnsi="Myriad Pro"/>
          <w:sz w:val="22"/>
          <w:szCs w:val="22"/>
          <w:lang w:val="mk-MK"/>
        </w:rPr>
        <w:t>во периодот од 00:00 часот на</w:t>
      </w:r>
      <w:r w:rsidR="00E8771B" w:rsidRPr="002A5981">
        <w:rPr>
          <w:rFonts w:ascii="Myriad Pro" w:hAnsi="Myriad Pro"/>
          <w:sz w:val="22"/>
          <w:szCs w:val="22"/>
        </w:rPr>
        <w:t xml:space="preserve">_________ </w:t>
      </w:r>
      <w:r w:rsidR="006875D3" w:rsidRPr="002A5981">
        <w:rPr>
          <w:rFonts w:ascii="Myriad Pro" w:hAnsi="Myriad Pro"/>
          <w:sz w:val="22"/>
          <w:szCs w:val="22"/>
          <w:lang w:val="mk-MK"/>
        </w:rPr>
        <w:t>202</w:t>
      </w:r>
      <w:r w:rsidR="00E8771B" w:rsidRPr="002A5981">
        <w:rPr>
          <w:rFonts w:ascii="Myriad Pro" w:hAnsi="Myriad Pro"/>
          <w:sz w:val="22"/>
          <w:szCs w:val="22"/>
        </w:rPr>
        <w:t>1</w:t>
      </w:r>
      <w:r w:rsidRPr="002A5981">
        <w:rPr>
          <w:rFonts w:ascii="Myriad Pro" w:hAnsi="Myriad Pro"/>
          <w:sz w:val="22"/>
          <w:szCs w:val="22"/>
          <w:lang w:val="mk-MK"/>
        </w:rPr>
        <w:t xml:space="preserve"> година до 24:00 часот на </w:t>
      </w:r>
      <w:r w:rsidR="00E8771B" w:rsidRPr="002A5981">
        <w:rPr>
          <w:rFonts w:ascii="Myriad Pro" w:hAnsi="Myriad Pro"/>
          <w:sz w:val="22"/>
          <w:szCs w:val="22"/>
        </w:rPr>
        <w:t>___________</w:t>
      </w:r>
      <w:r w:rsidRPr="002A5981">
        <w:rPr>
          <w:rFonts w:ascii="Myriad Pro" w:hAnsi="Myriad Pro"/>
          <w:sz w:val="22"/>
          <w:szCs w:val="22"/>
          <w:lang w:val="mk-MK"/>
        </w:rPr>
        <w:t xml:space="preserve"> 202</w:t>
      </w:r>
      <w:r w:rsidR="00E8771B" w:rsidRPr="002A5981">
        <w:rPr>
          <w:rFonts w:ascii="Myriad Pro" w:hAnsi="Myriad Pro"/>
          <w:sz w:val="22"/>
          <w:szCs w:val="22"/>
        </w:rPr>
        <w:t>1</w:t>
      </w:r>
      <w:r w:rsidR="00152CCA" w:rsidRPr="002A5981">
        <w:rPr>
          <w:rFonts w:ascii="Myriad Pro" w:hAnsi="Myriad Pro"/>
          <w:sz w:val="22"/>
          <w:szCs w:val="22"/>
        </w:rPr>
        <w:t xml:space="preserve"> </w:t>
      </w:r>
      <w:r w:rsidR="00152CCA" w:rsidRPr="002A5981">
        <w:rPr>
          <w:rFonts w:ascii="Myriad Pro" w:hAnsi="Myriad Pro"/>
          <w:sz w:val="22"/>
          <w:szCs w:val="22"/>
          <w:lang w:val="mk-MK"/>
        </w:rPr>
        <w:t>година</w:t>
      </w:r>
      <w:r w:rsidRPr="002A5981">
        <w:rPr>
          <w:rFonts w:ascii="Myriad Pro" w:hAnsi="Myriad Pro"/>
          <w:sz w:val="22"/>
          <w:szCs w:val="22"/>
          <w:lang w:val="mk-MK"/>
        </w:rPr>
        <w:t xml:space="preserve">. </w:t>
      </w:r>
    </w:p>
    <w:p w:rsidR="00E273FA" w:rsidRPr="002A5981" w:rsidRDefault="00A22081" w:rsidP="006875D3">
      <w:pPr>
        <w:rPr>
          <w:rFonts w:ascii="Myriad Pro" w:eastAsiaTheme="minorHAnsi" w:hAnsi="Myriad Pro" w:cstheme="minorBidi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fldChar w:fldCharType="begin"/>
      </w:r>
      <w:r w:rsidRPr="002A5981">
        <w:rPr>
          <w:rFonts w:ascii="Myriad Pro" w:hAnsi="Myriad Pro"/>
          <w:sz w:val="22"/>
          <w:szCs w:val="22"/>
          <w:lang w:val="mk-MK"/>
        </w:rPr>
        <w:instrText xml:space="preserve"> LINK </w:instrText>
      </w:r>
      <w:r w:rsidR="009122FB" w:rsidRPr="002A5981">
        <w:rPr>
          <w:rFonts w:ascii="Myriad Pro" w:hAnsi="Myriad Pro"/>
          <w:sz w:val="22"/>
          <w:szCs w:val="22"/>
          <w:lang w:val="mk-MK"/>
        </w:rPr>
        <w:instrText xml:space="preserve">Excel.Sheet.12 "D:\\OEPS\\Pravila za aFRR &amp; mFRR\\Registracija na BSPs\\Табели за Договор за набавка.xlsx" "Neobezbeden kapacitet!R2C2:R14C5" </w:instrText>
      </w:r>
      <w:r w:rsidRPr="002A5981">
        <w:rPr>
          <w:rFonts w:ascii="Myriad Pro" w:hAnsi="Myriad Pro"/>
          <w:sz w:val="22"/>
          <w:szCs w:val="22"/>
          <w:lang w:val="mk-MK"/>
        </w:rPr>
        <w:instrText xml:space="preserve">\a \f 4 \h </w:instrText>
      </w:r>
      <w:r w:rsidR="00E109CD" w:rsidRPr="002A5981">
        <w:rPr>
          <w:rFonts w:ascii="Myriad Pro" w:hAnsi="Myriad Pro"/>
          <w:sz w:val="22"/>
          <w:szCs w:val="22"/>
          <w:lang w:val="mk-MK"/>
        </w:rPr>
        <w:instrText xml:space="preserve"> \* MERGEFORMAT </w:instrText>
      </w:r>
      <w:r w:rsidRPr="002A5981">
        <w:rPr>
          <w:rFonts w:ascii="Myriad Pro" w:hAnsi="Myriad Pro"/>
          <w:sz w:val="22"/>
          <w:szCs w:val="22"/>
          <w:lang w:val="mk-MK"/>
        </w:rPr>
        <w:fldChar w:fldCharType="separate"/>
      </w:r>
    </w:p>
    <w:p w:rsidR="00225CF0" w:rsidRPr="002A5981" w:rsidRDefault="00A22081" w:rsidP="00A22081">
      <w:pPr>
        <w:jc w:val="center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fldChar w:fldCharType="end"/>
      </w:r>
    </w:p>
    <w:p w:rsidR="00A22081" w:rsidRPr="002A5981" w:rsidRDefault="00A22081" w:rsidP="00A22081">
      <w:pPr>
        <w:jc w:val="center"/>
        <w:rPr>
          <w:rFonts w:ascii="Myriad Pro" w:hAnsi="Myriad Pro"/>
          <w:sz w:val="22"/>
          <w:szCs w:val="22"/>
          <w:lang w:val="mk-MK"/>
        </w:rPr>
      </w:pPr>
    </w:p>
    <w:p w:rsidR="00336A89" w:rsidRPr="002A5981" w:rsidRDefault="00E109CD" w:rsidP="00336A89">
      <w:pPr>
        <w:jc w:val="center"/>
        <w:rPr>
          <w:rFonts w:ascii="Myriad Pro" w:hAnsi="Myriad Pro"/>
          <w:b/>
          <w:bCs/>
          <w:sz w:val="22"/>
          <w:szCs w:val="22"/>
        </w:rPr>
      </w:pPr>
      <w:r w:rsidRPr="002A5981">
        <w:rPr>
          <w:rFonts w:ascii="Myriad Pro" w:hAnsi="Myriad Pro"/>
          <w:b/>
          <w:bCs/>
          <w:sz w:val="22"/>
          <w:szCs w:val="22"/>
          <w:lang w:val="mk-MK"/>
        </w:rPr>
        <w:t>(месец)</w:t>
      </w:r>
      <w:r w:rsidR="00E8771B" w:rsidRPr="002A5981">
        <w:rPr>
          <w:rFonts w:ascii="Myriad Pro" w:hAnsi="Myriad Pro"/>
          <w:b/>
          <w:bCs/>
          <w:sz w:val="22"/>
          <w:szCs w:val="22"/>
        </w:rPr>
        <w:t>________________</w:t>
      </w:r>
      <w:r w:rsidR="00336A89" w:rsidRPr="002A5981">
        <w:rPr>
          <w:rFonts w:ascii="Myriad Pro" w:hAnsi="Myriad Pro"/>
          <w:b/>
          <w:bCs/>
          <w:sz w:val="22"/>
          <w:szCs w:val="22"/>
        </w:rPr>
        <w:t xml:space="preserve"> 202</w:t>
      </w:r>
      <w:r w:rsidR="00E8771B" w:rsidRPr="002A5981">
        <w:rPr>
          <w:rFonts w:ascii="Myriad Pro" w:hAnsi="Myriad Pro"/>
          <w:b/>
          <w:bCs/>
          <w:sz w:val="22"/>
          <w:szCs w:val="22"/>
        </w:rPr>
        <w:t>1</w:t>
      </w:r>
      <w:r w:rsidR="00336A89" w:rsidRPr="002A5981">
        <w:rPr>
          <w:rFonts w:ascii="Myriad Pro" w:hAnsi="Myriad Pro"/>
          <w:b/>
          <w:bCs/>
          <w:sz w:val="22"/>
          <w:szCs w:val="22"/>
        </w:rPr>
        <w:t xml:space="preserve"> </w:t>
      </w:r>
      <w:proofErr w:type="spellStart"/>
      <w:r w:rsidR="00336A89" w:rsidRPr="002A5981">
        <w:rPr>
          <w:rFonts w:ascii="Myriad Pro" w:hAnsi="Myriad Pro"/>
          <w:b/>
          <w:bCs/>
          <w:sz w:val="22"/>
          <w:szCs w:val="22"/>
        </w:rPr>
        <w:t>година</w:t>
      </w:r>
      <w:proofErr w:type="spellEnd"/>
    </w:p>
    <w:p w:rsidR="00696C86" w:rsidRPr="002A5981" w:rsidRDefault="00696C86" w:rsidP="00217592">
      <w:pPr>
        <w:jc w:val="both"/>
        <w:rPr>
          <w:rFonts w:ascii="Myriad Pro" w:hAnsi="Myriad Pro"/>
          <w:sz w:val="22"/>
          <w:szCs w:val="22"/>
        </w:rPr>
      </w:pPr>
    </w:p>
    <w:tbl>
      <w:tblPr>
        <w:tblW w:w="8740" w:type="dxa"/>
        <w:jc w:val="center"/>
        <w:tblLook w:val="04A0" w:firstRow="1" w:lastRow="0" w:firstColumn="1" w:lastColumn="0" w:noHBand="0" w:noVBand="1"/>
      </w:tblPr>
      <w:tblGrid>
        <w:gridCol w:w="2094"/>
        <w:gridCol w:w="1342"/>
        <w:gridCol w:w="1342"/>
        <w:gridCol w:w="1413"/>
        <w:gridCol w:w="1473"/>
        <w:gridCol w:w="1342"/>
      </w:tblGrid>
      <w:tr w:rsidR="00336A89" w:rsidRPr="002A5981" w:rsidTr="00152CCA">
        <w:trPr>
          <w:trHeight w:val="1080"/>
          <w:jc w:val="center"/>
        </w:trPr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>Балансни единици</w:t>
            </w:r>
          </w:p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eastAsia="mk-MK"/>
              </w:rPr>
              <w:t>a</w:t>
            </w: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>FRR балансен капацитет                            MW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 xml:space="preserve">Цена на </w:t>
            </w:r>
            <w:proofErr w:type="spellStart"/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eastAsia="mk-MK"/>
              </w:rPr>
              <w:t>aFRR</w:t>
            </w:r>
            <w:proofErr w:type="spellEnd"/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eastAsia="mk-MK"/>
              </w:rPr>
              <w:t xml:space="preserve"> </w:t>
            </w: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>балансен капацитет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:rsidR="00E109CD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 xml:space="preserve">Цена на </w:t>
            </w:r>
            <w:proofErr w:type="spellStart"/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eastAsia="mk-MK"/>
              </w:rPr>
              <w:t>aFRR</w:t>
            </w:r>
            <w:proofErr w:type="spellEnd"/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eastAsia="mk-MK"/>
              </w:rPr>
              <w:t xml:space="preserve"> </w:t>
            </w: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 xml:space="preserve">балансна енергија  </w:t>
            </w:r>
          </w:p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>€/MWh</w:t>
            </w:r>
          </w:p>
        </w:tc>
      </w:tr>
      <w:tr w:rsidR="00336A89" w:rsidRPr="002A5981" w:rsidTr="00152CCA">
        <w:trPr>
          <w:trHeight w:val="564"/>
          <w:jc w:val="center"/>
        </w:trPr>
        <w:tc>
          <w:tcPr>
            <w:tcW w:w="2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A89" w:rsidRPr="002A5981" w:rsidRDefault="00336A89" w:rsidP="00ED3E48">
            <w:pPr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>регулација нагоре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>регулација надолу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1F497D"/>
            <w:vAlign w:val="center"/>
            <w:hideMark/>
          </w:tcPr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>€/MW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>регулација нагоре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336A89" w:rsidRPr="002A5981" w:rsidRDefault="00336A89" w:rsidP="00ED3E48">
            <w:pPr>
              <w:jc w:val="center"/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b/>
                <w:bCs/>
                <w:color w:val="FFFFFF"/>
                <w:sz w:val="22"/>
                <w:szCs w:val="22"/>
                <w:lang w:val="mk-MK" w:eastAsia="mk-MK"/>
              </w:rPr>
              <w:t>регулација надолу</w:t>
            </w:r>
          </w:p>
        </w:tc>
      </w:tr>
      <w:tr w:rsidR="00336A89" w:rsidRPr="002A5981" w:rsidTr="00152CCA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36A89" w:rsidRPr="002A5981" w:rsidRDefault="00336A89" w:rsidP="00ED3E48">
            <w:pPr>
              <w:rPr>
                <w:rFonts w:ascii="Myriad Pro" w:hAnsi="Myriad Pro"/>
                <w:i/>
                <w:iCs/>
                <w:color w:val="0F243E"/>
                <w:sz w:val="22"/>
                <w:szCs w:val="22"/>
                <w:lang w:val="mk-MK" w:eastAsia="mk-MK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  <w:r w:rsidRPr="002A5981"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36A89" w:rsidRPr="002A5981" w:rsidTr="00152CCA">
        <w:trPr>
          <w:trHeight w:val="30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336A89" w:rsidRPr="002A5981" w:rsidRDefault="00336A89" w:rsidP="00ED3E48">
            <w:pPr>
              <w:rPr>
                <w:rFonts w:ascii="Myriad Pro" w:hAnsi="Myriad Pro"/>
                <w:i/>
                <w:iCs/>
                <w:color w:val="0F243E"/>
                <w:sz w:val="22"/>
                <w:szCs w:val="22"/>
                <w:lang w:val="mk-MK" w:eastAsia="mk-MK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:rsidR="00336A89" w:rsidRPr="002A5981" w:rsidRDefault="00336A89" w:rsidP="00ED3E48">
            <w:pPr>
              <w:rPr>
                <w:rFonts w:ascii="Myriad Pro" w:hAnsi="Myriad Pro"/>
                <w:color w:val="000000"/>
                <w:sz w:val="22"/>
                <w:szCs w:val="22"/>
                <w:lang w:val="mk-MK" w:eastAsia="mk-MK"/>
              </w:rPr>
            </w:pPr>
          </w:p>
        </w:tc>
      </w:tr>
    </w:tbl>
    <w:p w:rsidR="00F42E58" w:rsidRPr="002A5981" w:rsidRDefault="00F42E58" w:rsidP="00B57739">
      <w:pPr>
        <w:jc w:val="center"/>
        <w:rPr>
          <w:rFonts w:ascii="Myriad Pro" w:hAnsi="Myriad Pro"/>
          <w:b/>
          <w:sz w:val="22"/>
          <w:szCs w:val="22"/>
        </w:rPr>
      </w:pPr>
    </w:p>
    <w:p w:rsidR="00B57739" w:rsidRPr="002A5981" w:rsidRDefault="00B57739" w:rsidP="006665F8">
      <w:pPr>
        <w:tabs>
          <w:tab w:val="left" w:pos="0"/>
        </w:tabs>
        <w:ind w:right="-767"/>
        <w:jc w:val="both"/>
        <w:rPr>
          <w:rFonts w:ascii="Myriad Pro" w:hAnsi="Myriad Pro"/>
          <w:sz w:val="22"/>
          <w:szCs w:val="22"/>
          <w:lang w:val="mk-MK"/>
        </w:rPr>
      </w:pPr>
    </w:p>
    <w:p w:rsidR="002002D4" w:rsidRPr="002A5981" w:rsidRDefault="002002D4" w:rsidP="00152CCA">
      <w:pPr>
        <w:spacing w:after="120"/>
        <w:jc w:val="center"/>
        <w:rPr>
          <w:rFonts w:ascii="Myriad Pro" w:hAnsi="Myriad Pro"/>
          <w:b/>
          <w:sz w:val="22"/>
          <w:szCs w:val="22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 xml:space="preserve">Член </w:t>
      </w:r>
      <w:r w:rsidR="00987C88" w:rsidRPr="002A5981">
        <w:rPr>
          <w:rFonts w:ascii="Myriad Pro" w:hAnsi="Myriad Pro"/>
          <w:b/>
          <w:sz w:val="22"/>
          <w:szCs w:val="22"/>
        </w:rPr>
        <w:t>2</w:t>
      </w:r>
    </w:p>
    <w:p w:rsidR="00794EB9" w:rsidRPr="002A5981" w:rsidRDefault="00794EB9" w:rsidP="00BE7D29">
      <w:pPr>
        <w:pStyle w:val="ListParagraph"/>
        <w:numPr>
          <w:ilvl w:val="0"/>
          <w:numId w:val="12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D30CD8">
        <w:rPr>
          <w:rFonts w:ascii="Myriad Pro" w:hAnsi="Myriad Pro"/>
          <w:sz w:val="22"/>
          <w:szCs w:val="22"/>
          <w:lang w:val="mk-MK"/>
        </w:rPr>
        <w:t>BSP</w:t>
      </w:r>
      <w:r w:rsidR="00B57739" w:rsidRPr="002A5981">
        <w:rPr>
          <w:rFonts w:ascii="Myriad Pro" w:hAnsi="Myriad Pro"/>
          <w:sz w:val="22"/>
          <w:szCs w:val="22"/>
          <w:lang w:val="mk-MK"/>
        </w:rPr>
        <w:t xml:space="preserve"> </w:t>
      </w:r>
      <w:r w:rsidR="000C5941" w:rsidRPr="002A5981">
        <w:rPr>
          <w:rFonts w:ascii="Myriad Pro" w:hAnsi="Myriad Pro"/>
          <w:sz w:val="22"/>
          <w:szCs w:val="22"/>
          <w:lang w:val="mk-MK"/>
        </w:rPr>
        <w:t>е должен</w:t>
      </w:r>
      <w:r w:rsidRPr="00D30CD8">
        <w:rPr>
          <w:rFonts w:ascii="Myriad Pro" w:hAnsi="Myriad Pro"/>
          <w:sz w:val="22"/>
          <w:szCs w:val="22"/>
          <w:lang w:val="mk-MK"/>
        </w:rPr>
        <w:t xml:space="preserve"> </w:t>
      </w:r>
      <w:r w:rsidRPr="002A5981">
        <w:rPr>
          <w:rFonts w:ascii="Myriad Pro" w:hAnsi="Myriad Pro"/>
          <w:sz w:val="22"/>
          <w:szCs w:val="22"/>
          <w:lang w:val="mk-MK"/>
        </w:rPr>
        <w:t xml:space="preserve">да го стави на располагање </w:t>
      </w:r>
      <w:r w:rsidR="000C5941" w:rsidRPr="00D30CD8">
        <w:rPr>
          <w:rFonts w:ascii="Myriad Pro" w:hAnsi="Myriad Pro"/>
          <w:sz w:val="22"/>
          <w:szCs w:val="22"/>
          <w:lang w:val="mk-MK"/>
        </w:rPr>
        <w:t xml:space="preserve">на </w:t>
      </w:r>
      <w:r w:rsidR="000C5941" w:rsidRPr="002A5981">
        <w:rPr>
          <w:rFonts w:ascii="Myriad Pro" w:hAnsi="Myriad Pro"/>
          <w:sz w:val="22"/>
          <w:szCs w:val="22"/>
          <w:lang w:val="mk-MK"/>
        </w:rPr>
        <w:t xml:space="preserve">АД МЕПСО </w:t>
      </w:r>
      <w:r w:rsidRPr="002A5981">
        <w:rPr>
          <w:rFonts w:ascii="Myriad Pro" w:hAnsi="Myriad Pro"/>
          <w:sz w:val="22"/>
          <w:szCs w:val="22"/>
          <w:lang w:val="mk-MK"/>
        </w:rPr>
        <w:t xml:space="preserve">закупениот </w:t>
      </w:r>
      <w:r w:rsidRPr="00D30CD8">
        <w:rPr>
          <w:rFonts w:ascii="Myriad Pro" w:hAnsi="Myriad Pro"/>
          <w:sz w:val="22"/>
          <w:szCs w:val="22"/>
          <w:lang w:val="mk-MK"/>
        </w:rPr>
        <w:t xml:space="preserve">aFRR </w:t>
      </w:r>
      <w:r w:rsidRPr="002A5981">
        <w:rPr>
          <w:rFonts w:ascii="Myriad Pro" w:hAnsi="Myriad Pro"/>
          <w:sz w:val="22"/>
          <w:szCs w:val="22"/>
          <w:lang w:val="mk-MK"/>
        </w:rPr>
        <w:t xml:space="preserve">балансен капацитет. </w:t>
      </w:r>
    </w:p>
    <w:p w:rsidR="00794EB9" w:rsidRPr="002A5981" w:rsidRDefault="005C5C32" w:rsidP="00BE7D29">
      <w:pPr>
        <w:pStyle w:val="ListParagraph"/>
        <w:numPr>
          <w:ilvl w:val="0"/>
          <w:numId w:val="12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>Најдоцна до 14 часот в</w:t>
      </w:r>
      <w:r w:rsidR="001379CC" w:rsidRPr="002A5981">
        <w:rPr>
          <w:rFonts w:ascii="Myriad Pro" w:hAnsi="Myriad Pro"/>
          <w:sz w:val="22"/>
          <w:szCs w:val="22"/>
          <w:lang w:val="mk-MK"/>
        </w:rPr>
        <w:t xml:space="preserve">о денот D-1, </w:t>
      </w:r>
      <w:r w:rsidR="00794EB9" w:rsidRPr="002A5981">
        <w:rPr>
          <w:rFonts w:ascii="Myriad Pro" w:hAnsi="Myriad Pro"/>
          <w:sz w:val="22"/>
          <w:szCs w:val="22"/>
          <w:lang w:val="mk-MK"/>
        </w:rPr>
        <w:t xml:space="preserve">BSP до </w:t>
      </w:r>
      <w:r w:rsidR="001379CC" w:rsidRPr="002A5981">
        <w:rPr>
          <w:rFonts w:ascii="Myriad Pro" w:hAnsi="Myriad Pro"/>
          <w:sz w:val="22"/>
          <w:szCs w:val="22"/>
          <w:lang w:val="mk-MK"/>
        </w:rPr>
        <w:t>АД МЕПСО</w:t>
      </w:r>
      <w:r w:rsidR="00794EB9" w:rsidRPr="002A5981">
        <w:rPr>
          <w:rFonts w:ascii="Myriad Pro" w:hAnsi="Myriad Pro"/>
          <w:sz w:val="22"/>
          <w:szCs w:val="22"/>
          <w:lang w:val="mk-MK"/>
        </w:rPr>
        <w:t xml:space="preserve"> доставува распоред за диспечирање на </w:t>
      </w:r>
      <w:r w:rsidR="000C5941" w:rsidRPr="002A5981">
        <w:rPr>
          <w:rFonts w:ascii="Myriad Pro" w:hAnsi="Myriad Pro"/>
          <w:sz w:val="22"/>
          <w:szCs w:val="22"/>
          <w:lang w:val="mk-MK"/>
        </w:rPr>
        <w:t xml:space="preserve">закупените </w:t>
      </w:r>
      <w:r w:rsidR="001379CC" w:rsidRPr="00D30CD8">
        <w:rPr>
          <w:rFonts w:ascii="Myriad Pro" w:hAnsi="Myriad Pro"/>
          <w:sz w:val="22"/>
          <w:szCs w:val="22"/>
          <w:lang w:val="mk-MK"/>
        </w:rPr>
        <w:t xml:space="preserve">aFRR </w:t>
      </w:r>
      <w:r w:rsidR="00794EB9" w:rsidRPr="002A5981">
        <w:rPr>
          <w:rFonts w:ascii="Myriad Pro" w:hAnsi="Myriad Pro"/>
          <w:sz w:val="22"/>
          <w:szCs w:val="22"/>
          <w:lang w:val="mk-MK"/>
        </w:rPr>
        <w:t xml:space="preserve">балансни единици </w:t>
      </w:r>
      <w:r w:rsidR="000C5941" w:rsidRPr="002A5981">
        <w:rPr>
          <w:rFonts w:ascii="Myriad Pro" w:hAnsi="Myriad Pro"/>
          <w:sz w:val="22"/>
          <w:szCs w:val="22"/>
          <w:lang w:val="mk-MK"/>
        </w:rPr>
        <w:t xml:space="preserve">за обезбедување </w:t>
      </w:r>
      <w:r w:rsidR="000C5941" w:rsidRPr="00D30CD8">
        <w:rPr>
          <w:rFonts w:ascii="Myriad Pro" w:hAnsi="Myriad Pro"/>
          <w:sz w:val="22"/>
          <w:szCs w:val="22"/>
          <w:lang w:val="mk-MK"/>
        </w:rPr>
        <w:t xml:space="preserve">aFRR </w:t>
      </w:r>
      <w:r w:rsidR="000C5941" w:rsidRPr="002A5981">
        <w:rPr>
          <w:rFonts w:ascii="Myriad Pro" w:hAnsi="Myriad Pro"/>
          <w:sz w:val="22"/>
          <w:szCs w:val="22"/>
          <w:lang w:val="mk-MK"/>
        </w:rPr>
        <w:t xml:space="preserve">балансна енергија за регулација нагоре и регулација надолу </w:t>
      </w:r>
      <w:r w:rsidR="001379CC" w:rsidRPr="002A5981">
        <w:rPr>
          <w:rFonts w:ascii="Myriad Pro" w:hAnsi="Myriad Pro"/>
          <w:sz w:val="22"/>
          <w:szCs w:val="22"/>
          <w:lang w:val="mk-MK"/>
        </w:rPr>
        <w:t>за денот  D</w:t>
      </w:r>
      <w:r w:rsidR="000C5941" w:rsidRPr="002A5981">
        <w:rPr>
          <w:rFonts w:ascii="Myriad Pro" w:hAnsi="Myriad Pro"/>
          <w:sz w:val="22"/>
          <w:szCs w:val="22"/>
          <w:lang w:val="mk-MK"/>
        </w:rPr>
        <w:t>,</w:t>
      </w:r>
      <w:r w:rsidRPr="002A5981">
        <w:rPr>
          <w:rFonts w:ascii="Myriad Pro" w:hAnsi="Myriad Pro"/>
          <w:sz w:val="22"/>
          <w:szCs w:val="22"/>
          <w:lang w:val="mk-MK"/>
        </w:rPr>
        <w:t xml:space="preserve"> </w:t>
      </w:r>
      <w:r w:rsidR="00421F6F" w:rsidRPr="002A5981">
        <w:rPr>
          <w:rFonts w:ascii="Myriad Pro" w:hAnsi="Myriad Pro"/>
          <w:sz w:val="22"/>
          <w:szCs w:val="22"/>
          <w:lang w:val="mk-MK"/>
        </w:rPr>
        <w:t>и истиот се смета за конечен</w:t>
      </w:r>
      <w:r w:rsidR="00794EB9" w:rsidRPr="002A5981">
        <w:rPr>
          <w:rFonts w:ascii="Myriad Pro" w:hAnsi="Myriad Pro"/>
          <w:sz w:val="22"/>
          <w:szCs w:val="22"/>
          <w:lang w:val="mk-MK"/>
        </w:rPr>
        <w:t>.</w:t>
      </w:r>
    </w:p>
    <w:p w:rsidR="00D56003" w:rsidRPr="00D30CD8" w:rsidRDefault="00D56003" w:rsidP="00D30CD8">
      <w:pPr>
        <w:pStyle w:val="ListParagraph"/>
        <w:jc w:val="both"/>
        <w:rPr>
          <w:rFonts w:ascii="Myriad Pro" w:hAnsi="Myriad Pro"/>
          <w:sz w:val="22"/>
          <w:szCs w:val="22"/>
          <w:lang w:val="mk-MK"/>
        </w:rPr>
      </w:pPr>
      <w:r w:rsidRPr="00D30CD8">
        <w:rPr>
          <w:rFonts w:ascii="Myriad Pro" w:hAnsi="Myriad Pro"/>
          <w:sz w:val="22"/>
          <w:szCs w:val="22"/>
          <w:lang w:val="mk-MK"/>
        </w:rPr>
        <w:t xml:space="preserve">Распоредот за диспечирање </w:t>
      </w:r>
      <w:r w:rsidR="000C5941" w:rsidRPr="00D30CD8">
        <w:rPr>
          <w:rFonts w:ascii="Myriad Pro" w:hAnsi="Myriad Pro"/>
          <w:sz w:val="22"/>
          <w:szCs w:val="22"/>
          <w:lang w:val="mk-MK"/>
        </w:rPr>
        <w:t xml:space="preserve">на aFRR балансни единици </w:t>
      </w:r>
      <w:r w:rsidRPr="00D30CD8">
        <w:rPr>
          <w:rFonts w:ascii="Myriad Pro" w:hAnsi="Myriad Pro"/>
          <w:sz w:val="22"/>
          <w:szCs w:val="22"/>
          <w:lang w:val="mk-MK"/>
        </w:rPr>
        <w:t>се достав</w:t>
      </w:r>
      <w:r w:rsidR="000C5941" w:rsidRPr="00D30CD8">
        <w:rPr>
          <w:rFonts w:ascii="Myriad Pro" w:hAnsi="Myriad Pro"/>
          <w:sz w:val="22"/>
          <w:szCs w:val="22"/>
          <w:lang w:val="mk-MK"/>
        </w:rPr>
        <w:t>ува</w:t>
      </w:r>
      <w:r w:rsidRPr="00D30CD8">
        <w:rPr>
          <w:rFonts w:ascii="Myriad Pro" w:hAnsi="Myriad Pro"/>
          <w:sz w:val="22"/>
          <w:szCs w:val="22"/>
          <w:lang w:val="mk-MK"/>
        </w:rPr>
        <w:t xml:space="preserve"> до АД МЕПСО во следниот формат:</w:t>
      </w:r>
    </w:p>
    <w:p w:rsidR="00D56003" w:rsidRPr="002A5981" w:rsidRDefault="00D56003" w:rsidP="00D56003">
      <w:pPr>
        <w:jc w:val="both"/>
        <w:rPr>
          <w:rFonts w:ascii="Myriad Pro" w:hAnsi="Myriad Pro"/>
          <w:sz w:val="22"/>
          <w:szCs w:val="22"/>
        </w:rPr>
      </w:pPr>
    </w:p>
    <w:p w:rsidR="00D56003" w:rsidRPr="002A5981" w:rsidRDefault="00F359C5" w:rsidP="003E3825">
      <w:pPr>
        <w:jc w:val="center"/>
        <w:rPr>
          <w:rFonts w:ascii="Myriad Pro" w:hAnsi="Myriad Pro"/>
          <w:sz w:val="22"/>
          <w:szCs w:val="22"/>
        </w:rPr>
      </w:pPr>
      <w:r w:rsidRPr="002A5981">
        <w:rPr>
          <w:rFonts w:ascii="Myriad Pro" w:hAnsi="Myriad Pro"/>
          <w:noProof/>
          <w:sz w:val="22"/>
          <w:szCs w:val="22"/>
        </w:rPr>
        <w:lastRenderedPageBreak/>
        <w:drawing>
          <wp:inline distT="0" distB="0" distL="0" distR="0" wp14:anchorId="6D0C46C9" wp14:editId="5FE5D9A5">
            <wp:extent cx="5698541" cy="180136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00" cy="18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03" w:rsidRPr="002A5981" w:rsidRDefault="00D56003" w:rsidP="00D56003">
      <w:pPr>
        <w:jc w:val="both"/>
        <w:rPr>
          <w:rFonts w:ascii="Myriad Pro" w:hAnsi="Myriad Pro"/>
          <w:sz w:val="22"/>
          <w:szCs w:val="22"/>
          <w:lang w:val="mk-MK"/>
        </w:rPr>
      </w:pPr>
    </w:p>
    <w:p w:rsidR="00025C78" w:rsidRPr="002A5981" w:rsidRDefault="00F16352" w:rsidP="00025C78">
      <w:pPr>
        <w:pStyle w:val="ListParagraph"/>
        <w:numPr>
          <w:ilvl w:val="0"/>
          <w:numId w:val="12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BSP е должен да го </w:t>
      </w:r>
      <w:r w:rsidR="00B71E8C" w:rsidRPr="002A5981">
        <w:rPr>
          <w:rFonts w:ascii="Myriad Pro" w:hAnsi="Myriad Pro"/>
          <w:sz w:val="22"/>
          <w:szCs w:val="22"/>
          <w:lang w:val="mk-MK"/>
        </w:rPr>
        <w:t xml:space="preserve">подеси </w:t>
      </w:r>
      <w:r w:rsidRPr="002A5981">
        <w:rPr>
          <w:rFonts w:ascii="Myriad Pro" w:hAnsi="Myriad Pro"/>
          <w:sz w:val="22"/>
          <w:szCs w:val="22"/>
          <w:lang w:val="mk-MK"/>
        </w:rPr>
        <w:t xml:space="preserve">опсегот на регулација на секоја балансна единица </w:t>
      </w:r>
      <w:r w:rsidR="00025C78" w:rsidRPr="002A5981">
        <w:rPr>
          <w:rFonts w:ascii="Myriad Pro" w:hAnsi="Myriad Pro"/>
          <w:sz w:val="22"/>
          <w:szCs w:val="22"/>
          <w:lang w:val="mk-MK"/>
        </w:rPr>
        <w:t xml:space="preserve">вклучена во распоредот за диспечирање од став (2) на овој член, </w:t>
      </w:r>
      <w:r w:rsidRPr="002A5981">
        <w:rPr>
          <w:rFonts w:ascii="Myriad Pro" w:hAnsi="Myriad Pro"/>
          <w:sz w:val="22"/>
          <w:szCs w:val="22"/>
          <w:lang w:val="mk-MK"/>
        </w:rPr>
        <w:t>така што вкупниот опсег на регулација мора да биде еднаков на закупениот балансен капацитет</w:t>
      </w:r>
      <w:r w:rsidR="00025C78" w:rsidRPr="002A5981">
        <w:rPr>
          <w:rFonts w:ascii="Myriad Pro" w:hAnsi="Myriad Pro"/>
          <w:sz w:val="22"/>
          <w:szCs w:val="22"/>
          <w:lang w:val="mk-MK"/>
        </w:rPr>
        <w:t xml:space="preserve"> за периодот</w:t>
      </w:r>
      <w:r w:rsidRPr="002A5981">
        <w:rPr>
          <w:rFonts w:ascii="Myriad Pro" w:hAnsi="Myriad Pro"/>
          <w:sz w:val="22"/>
          <w:szCs w:val="22"/>
          <w:lang w:val="mk-MK"/>
        </w:rPr>
        <w:t>.</w:t>
      </w:r>
    </w:p>
    <w:p w:rsidR="00025C78" w:rsidRPr="002A5981" w:rsidRDefault="00025C78" w:rsidP="00025C78">
      <w:pPr>
        <w:pStyle w:val="ListParagraph"/>
        <w:numPr>
          <w:ilvl w:val="0"/>
          <w:numId w:val="12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Во случај на несоодветно </w:t>
      </w:r>
      <w:r w:rsidR="00B71E8C" w:rsidRPr="002A5981">
        <w:rPr>
          <w:rFonts w:ascii="Myriad Pro" w:hAnsi="Myriad Pro"/>
          <w:sz w:val="22"/>
          <w:szCs w:val="22"/>
          <w:lang w:val="mk-MK"/>
        </w:rPr>
        <w:t xml:space="preserve">поставен </w:t>
      </w:r>
      <w:r w:rsidRPr="002A5981">
        <w:rPr>
          <w:rFonts w:ascii="Myriad Pro" w:hAnsi="Myriad Pro"/>
          <w:sz w:val="22"/>
          <w:szCs w:val="22"/>
          <w:lang w:val="mk-MK"/>
        </w:rPr>
        <w:t>опсег на регулација, произведената електрична енергија надвор од регулационот опсег ќе се смета за дебаланс.</w:t>
      </w:r>
    </w:p>
    <w:p w:rsidR="00FF4E6F" w:rsidRPr="002A5981" w:rsidRDefault="00B71E8C" w:rsidP="00025C78">
      <w:pPr>
        <w:pStyle w:val="ListParagraph"/>
        <w:numPr>
          <w:ilvl w:val="0"/>
          <w:numId w:val="12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>АД МЕПСО ќе ги смета како</w:t>
      </w:r>
      <w:r w:rsidR="00FF4E6F" w:rsidRPr="002A5981">
        <w:rPr>
          <w:rFonts w:ascii="Myriad Pro" w:hAnsi="Myriad Pro"/>
          <w:sz w:val="22"/>
          <w:szCs w:val="22"/>
          <w:lang w:val="mk-MK"/>
        </w:rPr>
        <w:t xml:space="preserve"> меродавни </w:t>
      </w:r>
      <w:r w:rsidR="0064046C" w:rsidRPr="002A5981">
        <w:rPr>
          <w:rFonts w:ascii="Myriad Pro" w:hAnsi="Myriad Pro"/>
          <w:sz w:val="22"/>
          <w:szCs w:val="22"/>
          <w:lang w:val="mk-MK"/>
        </w:rPr>
        <w:t xml:space="preserve">само </w:t>
      </w:r>
      <w:r w:rsidR="00FF4E6F" w:rsidRPr="002A5981">
        <w:rPr>
          <w:rFonts w:ascii="Myriad Pro" w:hAnsi="Myriad Pro"/>
          <w:sz w:val="22"/>
          <w:szCs w:val="22"/>
          <w:lang w:val="mk-MK"/>
        </w:rPr>
        <w:t xml:space="preserve">оперативните граници </w:t>
      </w:r>
      <w:r w:rsidRPr="002A5981">
        <w:rPr>
          <w:rFonts w:ascii="Myriad Pro" w:hAnsi="Myriad Pro"/>
          <w:sz w:val="22"/>
          <w:szCs w:val="22"/>
          <w:lang w:val="mk-MK"/>
        </w:rPr>
        <w:t>на балансните единици</w:t>
      </w:r>
      <w:r w:rsidRPr="002A5981" w:rsidDel="00B71E8C">
        <w:rPr>
          <w:rFonts w:ascii="Myriad Pro" w:hAnsi="Myriad Pro"/>
          <w:sz w:val="22"/>
          <w:szCs w:val="22"/>
          <w:lang w:val="mk-MK"/>
        </w:rPr>
        <w:t xml:space="preserve"> </w:t>
      </w:r>
      <w:r w:rsidR="0064046C" w:rsidRPr="002A5981">
        <w:rPr>
          <w:rFonts w:ascii="Myriad Pro" w:hAnsi="Myriad Pro"/>
          <w:sz w:val="22"/>
          <w:szCs w:val="22"/>
          <w:lang w:val="mk-MK"/>
        </w:rPr>
        <w:t xml:space="preserve">кои се </w:t>
      </w:r>
      <w:r w:rsidRPr="002A5981">
        <w:rPr>
          <w:rFonts w:ascii="Myriad Pro" w:hAnsi="Myriad Pro"/>
          <w:sz w:val="22"/>
          <w:szCs w:val="22"/>
          <w:lang w:val="mk-MK"/>
        </w:rPr>
        <w:t xml:space="preserve">поставени во рамките на оперативните и технички можности </w:t>
      </w:r>
      <w:r w:rsidR="00FF4E6F" w:rsidRPr="002A5981">
        <w:rPr>
          <w:rFonts w:ascii="Myriad Pro" w:hAnsi="Myriad Pro"/>
          <w:sz w:val="22"/>
          <w:szCs w:val="22"/>
          <w:lang w:val="mk-MK"/>
        </w:rPr>
        <w:t xml:space="preserve">од страна на Операторите </w:t>
      </w:r>
      <w:r w:rsidRPr="002A5981">
        <w:rPr>
          <w:rFonts w:ascii="Myriad Pro" w:hAnsi="Myriad Pro"/>
          <w:sz w:val="22"/>
          <w:szCs w:val="22"/>
          <w:lang w:val="mk-MK"/>
        </w:rPr>
        <w:t xml:space="preserve">на </w:t>
      </w:r>
      <w:r w:rsidR="00FF4E6F" w:rsidRPr="002A5981">
        <w:rPr>
          <w:rFonts w:ascii="Myriad Pro" w:hAnsi="Myriad Pro"/>
          <w:sz w:val="22"/>
          <w:szCs w:val="22"/>
          <w:lang w:val="mk-MK"/>
        </w:rPr>
        <w:t>Балансните единиц</w:t>
      </w:r>
      <w:r w:rsidR="0064046C" w:rsidRPr="002A5981">
        <w:rPr>
          <w:rFonts w:ascii="Myriad Pro" w:hAnsi="Myriad Pro"/>
          <w:sz w:val="22"/>
          <w:szCs w:val="22"/>
          <w:lang w:val="mk-MK"/>
        </w:rPr>
        <w:t>и</w:t>
      </w:r>
      <w:r w:rsidRPr="002A5981">
        <w:rPr>
          <w:rFonts w:ascii="Myriad Pro" w:hAnsi="Myriad Pro"/>
          <w:sz w:val="22"/>
          <w:szCs w:val="22"/>
          <w:lang w:val="mk-MK"/>
        </w:rPr>
        <w:t>,</w:t>
      </w:r>
      <w:r w:rsidR="00FF4E6F" w:rsidRPr="002A5981">
        <w:rPr>
          <w:rFonts w:ascii="Myriad Pro" w:hAnsi="Myriad Pro"/>
          <w:sz w:val="22"/>
          <w:szCs w:val="22"/>
          <w:lang w:val="mk-MK"/>
        </w:rPr>
        <w:t xml:space="preserve"> телеметрирани до </w:t>
      </w:r>
      <w:r w:rsidR="00FF4E6F" w:rsidRPr="002A5981">
        <w:rPr>
          <w:rFonts w:ascii="Myriad Pro" w:hAnsi="Myriad Pro"/>
          <w:sz w:val="22"/>
          <w:szCs w:val="22"/>
        </w:rPr>
        <w:t>SCADA</w:t>
      </w:r>
      <w:r w:rsidRPr="002A5981">
        <w:rPr>
          <w:rFonts w:ascii="Myriad Pro" w:hAnsi="Myriad Pro"/>
          <w:sz w:val="22"/>
          <w:szCs w:val="22"/>
          <w:lang w:val="mk-MK"/>
        </w:rPr>
        <w:t xml:space="preserve"> системот</w:t>
      </w:r>
      <w:r w:rsidR="00FF4E6F" w:rsidRPr="002A5981">
        <w:rPr>
          <w:rFonts w:ascii="Myriad Pro" w:hAnsi="Myriad Pro"/>
          <w:sz w:val="22"/>
          <w:szCs w:val="22"/>
        </w:rPr>
        <w:t xml:space="preserve"> </w:t>
      </w:r>
      <w:r w:rsidR="00FF4E6F" w:rsidRPr="002A5981">
        <w:rPr>
          <w:rFonts w:ascii="Myriad Pro" w:hAnsi="Myriad Pro"/>
          <w:sz w:val="22"/>
          <w:szCs w:val="22"/>
          <w:lang w:val="mk-MK"/>
        </w:rPr>
        <w:t>на АД МЕПСО.</w:t>
      </w:r>
    </w:p>
    <w:p w:rsidR="00954063" w:rsidRPr="002A5981" w:rsidRDefault="00954063" w:rsidP="00954063">
      <w:pPr>
        <w:pStyle w:val="ListParagraph"/>
        <w:jc w:val="both"/>
        <w:rPr>
          <w:rFonts w:ascii="Myriad Pro" w:hAnsi="Myriad Pro"/>
          <w:sz w:val="22"/>
          <w:szCs w:val="22"/>
          <w:lang w:val="mk-MK"/>
        </w:rPr>
      </w:pPr>
    </w:p>
    <w:p w:rsidR="00136BF8" w:rsidRPr="002A5981" w:rsidRDefault="00136BF8" w:rsidP="00954063">
      <w:pPr>
        <w:pStyle w:val="ListParagraph"/>
        <w:jc w:val="both"/>
        <w:rPr>
          <w:rFonts w:ascii="Myriad Pro" w:hAnsi="Myriad Pro"/>
          <w:sz w:val="22"/>
          <w:szCs w:val="22"/>
        </w:rPr>
      </w:pPr>
    </w:p>
    <w:p w:rsidR="00BE7D29" w:rsidRPr="002A5981" w:rsidRDefault="00BE7D29" w:rsidP="008E303E">
      <w:pPr>
        <w:spacing w:after="120"/>
        <w:jc w:val="center"/>
        <w:rPr>
          <w:rFonts w:ascii="Myriad Pro" w:hAnsi="Myriad Pro"/>
          <w:b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>Активирање на aFRR балансна енергија</w:t>
      </w:r>
    </w:p>
    <w:p w:rsidR="00BE7D29" w:rsidRPr="002A5981" w:rsidRDefault="00BE7D29" w:rsidP="008E303E">
      <w:pPr>
        <w:spacing w:after="120"/>
        <w:jc w:val="center"/>
        <w:rPr>
          <w:rFonts w:ascii="Myriad Pro" w:hAnsi="Myriad Pro"/>
          <w:b/>
          <w:sz w:val="22"/>
          <w:szCs w:val="22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 xml:space="preserve">Член </w:t>
      </w:r>
      <w:r w:rsidR="00987C88" w:rsidRPr="002A5981">
        <w:rPr>
          <w:rFonts w:ascii="Myriad Pro" w:hAnsi="Myriad Pro"/>
          <w:b/>
          <w:sz w:val="22"/>
          <w:szCs w:val="22"/>
        </w:rPr>
        <w:t>3</w:t>
      </w:r>
    </w:p>
    <w:p w:rsidR="00421F6F" w:rsidRPr="002A5981" w:rsidRDefault="00421F6F" w:rsidP="00BE7D29">
      <w:pPr>
        <w:pStyle w:val="ListParagraph"/>
        <w:numPr>
          <w:ilvl w:val="0"/>
          <w:numId w:val="13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>АД МЕПСО ја активира aFRR балансната енергија само од балансните единици кои се закупени на аукциите за набавка на aFRR балансен капацитет и aFRR балансна енергија</w:t>
      </w:r>
      <w:r w:rsidR="00A4338D" w:rsidRPr="002A5981">
        <w:rPr>
          <w:rFonts w:ascii="Myriad Pro" w:hAnsi="Myriad Pro"/>
          <w:sz w:val="22"/>
          <w:szCs w:val="22"/>
          <w:lang w:val="mk-MK"/>
        </w:rPr>
        <w:t xml:space="preserve"> и истите се</w:t>
      </w:r>
      <w:r w:rsidRPr="002A5981">
        <w:rPr>
          <w:rFonts w:ascii="Myriad Pro" w:hAnsi="Myriad Pro"/>
          <w:sz w:val="22"/>
          <w:szCs w:val="22"/>
          <w:lang w:val="mk-MK"/>
        </w:rPr>
        <w:t xml:space="preserve"> вклучени во распоред за диспечирање на балансните единици доставен од страна на BSP.</w:t>
      </w:r>
    </w:p>
    <w:p w:rsidR="00954063" w:rsidRPr="002A5981" w:rsidRDefault="00954063" w:rsidP="00954063">
      <w:pPr>
        <w:pStyle w:val="ListParagraph"/>
        <w:jc w:val="both"/>
        <w:rPr>
          <w:rFonts w:ascii="Myriad Pro" w:hAnsi="Myriad Pro"/>
          <w:sz w:val="22"/>
          <w:szCs w:val="22"/>
          <w:lang w:val="mk-MK"/>
        </w:rPr>
      </w:pPr>
    </w:p>
    <w:p w:rsidR="00954063" w:rsidRPr="002A5981" w:rsidRDefault="00954063" w:rsidP="00954063">
      <w:pPr>
        <w:pStyle w:val="ListParagraph"/>
        <w:numPr>
          <w:ilvl w:val="0"/>
          <w:numId w:val="13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BSP </w:t>
      </w:r>
      <w:r w:rsidR="00FC7A1F" w:rsidRPr="002A5981">
        <w:rPr>
          <w:rFonts w:ascii="Myriad Pro" w:hAnsi="Myriad Pro"/>
          <w:sz w:val="22"/>
          <w:szCs w:val="22"/>
          <w:lang w:val="mk-MK"/>
        </w:rPr>
        <w:t xml:space="preserve">е должен да </w:t>
      </w:r>
      <w:r w:rsidRPr="002A5981">
        <w:rPr>
          <w:rFonts w:ascii="Myriad Pro" w:hAnsi="Myriad Pro"/>
          <w:sz w:val="22"/>
          <w:szCs w:val="22"/>
          <w:lang w:val="mk-MK"/>
        </w:rPr>
        <w:t xml:space="preserve">обезбедува податоци за диспечирање на балансните единици за </w:t>
      </w:r>
      <w:r w:rsidR="00FC7A1F" w:rsidRPr="002A5981">
        <w:rPr>
          <w:rFonts w:ascii="Myriad Pro" w:hAnsi="Myriad Pro"/>
          <w:sz w:val="22"/>
          <w:szCs w:val="22"/>
          <w:lang w:val="mk-MK"/>
        </w:rPr>
        <w:t xml:space="preserve">потребите на </w:t>
      </w:r>
      <w:r w:rsidR="00CD1DAA"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Pr="002A5981">
        <w:rPr>
          <w:rFonts w:ascii="Myriad Pro" w:hAnsi="Myriad Pro"/>
          <w:sz w:val="22"/>
          <w:szCs w:val="22"/>
          <w:lang w:val="mk-MK"/>
        </w:rPr>
        <w:t xml:space="preserve"> преку комуникациска врска SCADA системот на BSP и SCADA системот на</w:t>
      </w:r>
      <w:r w:rsidR="006145AC" w:rsidRPr="002A5981">
        <w:rPr>
          <w:rFonts w:ascii="Myriad Pro" w:hAnsi="Myriad Pro"/>
          <w:sz w:val="22"/>
          <w:szCs w:val="22"/>
          <w:lang w:val="mk-MK"/>
        </w:rPr>
        <w:t xml:space="preserve"> АД</w:t>
      </w:r>
      <w:r w:rsidRPr="002A5981">
        <w:rPr>
          <w:rFonts w:ascii="Myriad Pro" w:hAnsi="Myriad Pro"/>
          <w:sz w:val="22"/>
          <w:szCs w:val="22"/>
          <w:lang w:val="mk-MK"/>
        </w:rPr>
        <w:t xml:space="preserve">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Pr="002A5981">
        <w:rPr>
          <w:rFonts w:ascii="Myriad Pro" w:hAnsi="Myriad Pro"/>
          <w:sz w:val="22"/>
          <w:szCs w:val="22"/>
          <w:lang w:val="mk-MK"/>
        </w:rPr>
        <w:t>.</w:t>
      </w:r>
    </w:p>
    <w:p w:rsidR="00CF4FFA" w:rsidRPr="002A5981" w:rsidRDefault="00CF4FFA" w:rsidP="00CF4FFA">
      <w:pPr>
        <w:pStyle w:val="ListParagraph"/>
        <w:jc w:val="both"/>
        <w:rPr>
          <w:rFonts w:ascii="Myriad Pro" w:hAnsi="Myriad Pro"/>
          <w:sz w:val="22"/>
          <w:szCs w:val="22"/>
          <w:lang w:val="mk-MK"/>
        </w:rPr>
      </w:pPr>
    </w:p>
    <w:p w:rsidR="00CF4FFA" w:rsidRPr="002A5981" w:rsidRDefault="00CF4FFA" w:rsidP="00CF4FFA">
      <w:pPr>
        <w:pStyle w:val="ListParagraph"/>
        <w:numPr>
          <w:ilvl w:val="0"/>
          <w:numId w:val="13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aFRR се активира автоматски преку SCADA системот на </w:t>
      </w:r>
      <w:r w:rsidR="006145AC"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Pr="002A5981">
        <w:rPr>
          <w:rFonts w:ascii="Myriad Pro" w:hAnsi="Myriad Pro"/>
          <w:sz w:val="22"/>
          <w:szCs w:val="22"/>
          <w:lang w:val="mk-MK"/>
        </w:rPr>
        <w:t xml:space="preserve"> кој испраќа сигнал до балансните единици на BSP кои се успешно вклучени во AGC, за активирање на потребната балансна енергија.</w:t>
      </w:r>
    </w:p>
    <w:p w:rsidR="00CF4FFA" w:rsidRPr="002A5981" w:rsidRDefault="00CF4FFA" w:rsidP="00CF4FFA">
      <w:pPr>
        <w:pStyle w:val="ListParagraph"/>
        <w:jc w:val="both"/>
        <w:rPr>
          <w:rFonts w:ascii="Myriad Pro" w:hAnsi="Myriad Pro"/>
          <w:sz w:val="22"/>
          <w:szCs w:val="22"/>
          <w:lang w:val="mk-MK"/>
        </w:rPr>
      </w:pPr>
    </w:p>
    <w:p w:rsidR="00421F6F" w:rsidRPr="002A5981" w:rsidRDefault="00421F6F" w:rsidP="00855CA6">
      <w:pPr>
        <w:pStyle w:val="ListParagraph"/>
        <w:numPr>
          <w:ilvl w:val="0"/>
          <w:numId w:val="13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Во случај на технички потешкотии </w:t>
      </w:r>
      <w:r w:rsidR="00FC7A1F" w:rsidRPr="002A5981">
        <w:rPr>
          <w:rFonts w:ascii="Myriad Pro" w:hAnsi="Myriad Pro"/>
          <w:sz w:val="22"/>
          <w:szCs w:val="22"/>
          <w:lang w:val="mk-MK"/>
        </w:rPr>
        <w:t>и</w:t>
      </w:r>
      <w:r w:rsidRPr="002A5981">
        <w:rPr>
          <w:rFonts w:ascii="Myriad Pro" w:hAnsi="Myriad Pro"/>
          <w:sz w:val="22"/>
          <w:szCs w:val="22"/>
          <w:lang w:val="mk-MK"/>
        </w:rPr>
        <w:t xml:space="preserve"> неможност да се активира балансна енергија</w:t>
      </w:r>
      <w:r w:rsidR="00053FC1" w:rsidRPr="002A5981">
        <w:rPr>
          <w:rFonts w:ascii="Myriad Pro" w:hAnsi="Myriad Pro"/>
          <w:sz w:val="22"/>
          <w:szCs w:val="22"/>
        </w:rPr>
        <w:t xml:space="preserve"> </w:t>
      </w:r>
      <w:r w:rsidR="00053FC1" w:rsidRPr="002A5981">
        <w:rPr>
          <w:rFonts w:ascii="Myriad Pro" w:hAnsi="Myriad Pro"/>
          <w:sz w:val="22"/>
          <w:szCs w:val="22"/>
          <w:lang w:val="mk-MK"/>
        </w:rPr>
        <w:t xml:space="preserve">од </w:t>
      </w:r>
      <w:r w:rsidR="00FC7A1F" w:rsidRPr="002A5981">
        <w:rPr>
          <w:rFonts w:ascii="Myriad Pro" w:hAnsi="Myriad Pro"/>
          <w:sz w:val="22"/>
          <w:szCs w:val="22"/>
          <w:lang w:val="mk-MK"/>
        </w:rPr>
        <w:t>aFRR балансни</w:t>
      </w:r>
      <w:r w:rsidR="00053FC1" w:rsidRPr="002A5981">
        <w:rPr>
          <w:rFonts w:ascii="Myriad Pro" w:hAnsi="Myriad Pro"/>
          <w:sz w:val="22"/>
          <w:szCs w:val="22"/>
          <w:lang w:val="mk-MK"/>
        </w:rPr>
        <w:t>те</w:t>
      </w:r>
      <w:r w:rsidR="00FC7A1F" w:rsidRPr="002A5981">
        <w:rPr>
          <w:rFonts w:ascii="Myriad Pro" w:hAnsi="Myriad Pro"/>
          <w:sz w:val="22"/>
          <w:szCs w:val="22"/>
          <w:lang w:val="mk-MK"/>
        </w:rPr>
        <w:t xml:space="preserve"> единици предвидени со распоредот за диспечирање</w:t>
      </w:r>
      <w:r w:rsidRPr="002A5981">
        <w:rPr>
          <w:rFonts w:ascii="Myriad Pro" w:hAnsi="Myriad Pro"/>
          <w:sz w:val="22"/>
          <w:szCs w:val="22"/>
          <w:lang w:val="mk-MK"/>
        </w:rPr>
        <w:t xml:space="preserve"> BSP испраќа известување </w:t>
      </w:r>
      <w:r w:rsidR="00CD1DAA" w:rsidRPr="002A5981">
        <w:rPr>
          <w:rFonts w:ascii="Myriad Pro" w:hAnsi="Myriad Pro"/>
          <w:sz w:val="22"/>
          <w:szCs w:val="22"/>
          <w:lang w:val="mk-MK"/>
        </w:rPr>
        <w:t xml:space="preserve">за техничката спреченост </w:t>
      </w:r>
      <w:r w:rsidRPr="002A5981">
        <w:rPr>
          <w:rFonts w:ascii="Myriad Pro" w:hAnsi="Myriad Pro"/>
          <w:sz w:val="22"/>
          <w:szCs w:val="22"/>
          <w:lang w:val="mk-MK"/>
        </w:rPr>
        <w:t xml:space="preserve">и </w:t>
      </w:r>
      <w:r w:rsidR="00855CA6" w:rsidRPr="002A5981">
        <w:rPr>
          <w:rFonts w:ascii="Myriad Pro" w:hAnsi="Myriad Pro"/>
          <w:sz w:val="22"/>
          <w:szCs w:val="22"/>
          <w:lang w:val="mk-MK"/>
        </w:rPr>
        <w:t xml:space="preserve">нов распоред за диспечирање на балансните единици со расположливи балансни единици кои можат да обезбедат  аFRR балансен капацитет и </w:t>
      </w:r>
      <w:r w:rsidR="00855CA6" w:rsidRPr="002A5981">
        <w:rPr>
          <w:rFonts w:ascii="Myriad Pro" w:hAnsi="Myriad Pro"/>
          <w:sz w:val="22"/>
          <w:szCs w:val="22"/>
        </w:rPr>
        <w:t>a</w:t>
      </w:r>
      <w:r w:rsidR="00855CA6" w:rsidRPr="002A5981">
        <w:rPr>
          <w:rFonts w:ascii="Myriad Pro" w:hAnsi="Myriad Pro"/>
          <w:sz w:val="22"/>
          <w:szCs w:val="22"/>
          <w:lang w:val="mk-MK"/>
        </w:rPr>
        <w:t>FRR балансна енергија на АД МЕПСО, најдоцна еден час пред часот на активирање на балансната единица.</w:t>
      </w:r>
    </w:p>
    <w:p w:rsidR="00954063" w:rsidRPr="002A5981" w:rsidRDefault="00954063" w:rsidP="00954063">
      <w:pPr>
        <w:jc w:val="both"/>
        <w:rPr>
          <w:rFonts w:ascii="Myriad Pro" w:hAnsi="Myriad Pro"/>
          <w:sz w:val="22"/>
          <w:szCs w:val="22"/>
          <w:lang w:val="mk-MK"/>
        </w:rPr>
      </w:pPr>
    </w:p>
    <w:p w:rsidR="006145AC" w:rsidRPr="002A5981" w:rsidRDefault="006145AC">
      <w:pPr>
        <w:spacing w:after="200" w:line="276" w:lineRule="auto"/>
        <w:rPr>
          <w:rFonts w:ascii="Myriad Pro" w:hAnsi="Myriad Pro"/>
          <w:b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br w:type="page"/>
      </w:r>
    </w:p>
    <w:p w:rsidR="00D555E0" w:rsidRPr="002A5981" w:rsidRDefault="00D555E0" w:rsidP="00930AAE">
      <w:pPr>
        <w:spacing w:after="120"/>
        <w:jc w:val="center"/>
        <w:rPr>
          <w:rFonts w:ascii="Myriad Pro" w:hAnsi="Myriad Pro"/>
          <w:b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lastRenderedPageBreak/>
        <w:t xml:space="preserve">Финансиско порамнување за набавениот </w:t>
      </w:r>
      <w:r w:rsidR="007E45C2" w:rsidRPr="002A5981">
        <w:rPr>
          <w:rFonts w:ascii="Myriad Pro" w:hAnsi="Myriad Pro"/>
          <w:b/>
          <w:sz w:val="22"/>
          <w:szCs w:val="22"/>
          <w:lang w:val="mk-MK"/>
        </w:rPr>
        <w:t xml:space="preserve">aFRR </w:t>
      </w:r>
      <w:r w:rsidRPr="002A5981">
        <w:rPr>
          <w:rFonts w:ascii="Myriad Pro" w:hAnsi="Myriad Pro"/>
          <w:b/>
          <w:sz w:val="22"/>
          <w:szCs w:val="22"/>
          <w:lang w:val="mk-MK"/>
        </w:rPr>
        <w:t>балансен капацитет</w:t>
      </w:r>
    </w:p>
    <w:p w:rsidR="0024075B" w:rsidRPr="002A5981" w:rsidRDefault="00D555E0" w:rsidP="00D555E0">
      <w:pPr>
        <w:jc w:val="center"/>
        <w:rPr>
          <w:rFonts w:ascii="Myriad Pro" w:hAnsi="Myriad Pro"/>
          <w:b/>
          <w:sz w:val="22"/>
          <w:szCs w:val="22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 xml:space="preserve">Член </w:t>
      </w:r>
      <w:r w:rsidR="00987C88" w:rsidRPr="002A5981">
        <w:rPr>
          <w:rFonts w:ascii="Myriad Pro" w:hAnsi="Myriad Pro"/>
          <w:b/>
          <w:sz w:val="22"/>
          <w:szCs w:val="22"/>
        </w:rPr>
        <w:t>4</w:t>
      </w:r>
    </w:p>
    <w:p w:rsidR="00D555E0" w:rsidRPr="002A5981" w:rsidRDefault="00D555E0" w:rsidP="00794EB9">
      <w:pPr>
        <w:jc w:val="both"/>
        <w:rPr>
          <w:rFonts w:ascii="Myriad Pro" w:hAnsi="Myriad Pro"/>
          <w:sz w:val="22"/>
          <w:szCs w:val="22"/>
          <w:lang w:val="mk-MK"/>
        </w:rPr>
      </w:pPr>
    </w:p>
    <w:p w:rsidR="00D555E0" w:rsidRPr="002A5981" w:rsidRDefault="006145AC" w:rsidP="007E45C2">
      <w:pPr>
        <w:pStyle w:val="ListParagraph"/>
        <w:numPr>
          <w:ilvl w:val="0"/>
          <w:numId w:val="5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врши финансиско порамнување за набавениот (</w:t>
      </w:r>
      <w:r w:rsidRPr="002A5981">
        <w:rPr>
          <w:rFonts w:ascii="Myriad Pro" w:hAnsi="Myriad Pro"/>
          <w:sz w:val="22"/>
          <w:szCs w:val="22"/>
          <w:lang w:val="mk-MK"/>
        </w:rPr>
        <w:t>закупениот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) aFRR балансен капацитет врз основа на податоците за реално обезбедениот aFRR балансен капацитет од страна на BSP и цените од аукциите за aFRR  балансен капацитет. </w:t>
      </w:r>
    </w:p>
    <w:p w:rsidR="007E19D8" w:rsidRPr="002A5981" w:rsidRDefault="006145AC" w:rsidP="00303978">
      <w:pPr>
        <w:pStyle w:val="Stavovi"/>
        <w:numPr>
          <w:ilvl w:val="0"/>
          <w:numId w:val="5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АД </w:t>
      </w:r>
      <w:r w:rsidR="00930AAE" w:rsidRPr="002A5981">
        <w:rPr>
          <w:rFonts w:ascii="Myriad Pro" w:hAnsi="Myriad Pro"/>
        </w:rPr>
        <w:t>МЕПСО ќе смета дека б</w:t>
      </w:r>
      <w:r w:rsidR="007E19D8" w:rsidRPr="002A5981">
        <w:rPr>
          <w:rFonts w:ascii="Myriad Pro" w:hAnsi="Myriad Pro"/>
        </w:rPr>
        <w:t xml:space="preserve">алансните единици на BSP </w:t>
      </w:r>
      <w:r w:rsidR="00303978" w:rsidRPr="002A5981">
        <w:rPr>
          <w:rFonts w:ascii="Myriad Pro" w:hAnsi="Myriad Pro"/>
        </w:rPr>
        <w:t xml:space="preserve">го овозможиле набавениот aFRR балансен капацитет доколку балансната единица го </w:t>
      </w:r>
      <w:r w:rsidR="00930AAE" w:rsidRPr="002A5981">
        <w:rPr>
          <w:rFonts w:ascii="Myriad Pro" w:hAnsi="Myriad Pro"/>
        </w:rPr>
        <w:t xml:space="preserve">стави </w:t>
      </w:r>
      <w:r w:rsidR="00303978" w:rsidRPr="002A5981">
        <w:rPr>
          <w:rFonts w:ascii="Myriad Pro" w:hAnsi="Myriad Pro"/>
        </w:rPr>
        <w:t>на располагање балансниот капацитет според техничките д</w:t>
      </w:r>
      <w:r w:rsidR="005D0E97" w:rsidRPr="002A5981">
        <w:rPr>
          <w:rFonts w:ascii="Myriad Pro" w:hAnsi="Myriad Pro"/>
        </w:rPr>
        <w:t>етали за активирање опишани во П</w:t>
      </w:r>
      <w:r w:rsidR="00303978" w:rsidRPr="002A5981">
        <w:rPr>
          <w:rFonts w:ascii="Myriad Pro" w:hAnsi="Myriad Pro"/>
        </w:rPr>
        <w:t>равилата за набавка на aFRR</w:t>
      </w:r>
      <w:r w:rsidR="007E19D8" w:rsidRPr="002A5981">
        <w:rPr>
          <w:rFonts w:ascii="Myriad Pro" w:hAnsi="Myriad Pro"/>
        </w:rPr>
        <w:t>.</w:t>
      </w:r>
    </w:p>
    <w:p w:rsidR="00D555E0" w:rsidRPr="002A5981" w:rsidRDefault="00D555E0" w:rsidP="00930AAE">
      <w:pPr>
        <w:pStyle w:val="Stavovi"/>
        <w:numPr>
          <w:ilvl w:val="0"/>
          <w:numId w:val="5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Период на порамнување е еден календарски месец. </w:t>
      </w:r>
    </w:p>
    <w:p w:rsidR="00D555E0" w:rsidRPr="002A5981" w:rsidRDefault="006145AC" w:rsidP="00D555E0">
      <w:pPr>
        <w:pStyle w:val="ListParagraph"/>
        <w:numPr>
          <w:ilvl w:val="0"/>
          <w:numId w:val="5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</w:t>
      </w:r>
      <w:r w:rsidR="00930AAE" w:rsidRPr="002A5981">
        <w:rPr>
          <w:rFonts w:ascii="Myriad Pro" w:hAnsi="Myriad Pro"/>
          <w:sz w:val="22"/>
          <w:szCs w:val="22"/>
          <w:lang w:val="mk-MK"/>
        </w:rPr>
        <w:t xml:space="preserve">изготвува и доставува 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извештај </w:t>
      </w:r>
      <w:r w:rsidR="00930AAE" w:rsidRPr="002A5981">
        <w:rPr>
          <w:rFonts w:ascii="Myriad Pro" w:hAnsi="Myriad Pro"/>
          <w:sz w:val="22"/>
          <w:szCs w:val="22"/>
          <w:lang w:val="mk-MK"/>
        </w:rPr>
        <w:t xml:space="preserve">до </w:t>
      </w:r>
      <w:r w:rsidR="00930AAE" w:rsidRPr="002A5981">
        <w:rPr>
          <w:rFonts w:ascii="Myriad Pro" w:hAnsi="Myriad Pro"/>
          <w:sz w:val="22"/>
          <w:szCs w:val="22"/>
        </w:rPr>
        <w:t xml:space="preserve">BSP </w:t>
      </w:r>
      <w:r w:rsidR="00D555E0" w:rsidRPr="002A5981">
        <w:rPr>
          <w:rFonts w:ascii="Myriad Pro" w:hAnsi="Myriad Pro"/>
          <w:sz w:val="22"/>
          <w:szCs w:val="22"/>
          <w:lang w:val="mk-MK"/>
        </w:rPr>
        <w:t>за финансиско порамнување  за  набавка</w:t>
      </w:r>
      <w:r w:rsidR="00FF744E" w:rsidRPr="002A5981">
        <w:rPr>
          <w:rFonts w:ascii="Myriad Pro" w:hAnsi="Myriad Pro"/>
          <w:sz w:val="22"/>
          <w:szCs w:val="22"/>
          <w:lang w:val="mk-MK"/>
        </w:rPr>
        <w:t>та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на </w:t>
      </w:r>
      <w:proofErr w:type="spellStart"/>
      <w:r w:rsidR="007E45C2" w:rsidRPr="002A5981">
        <w:rPr>
          <w:rFonts w:ascii="Myriad Pro" w:hAnsi="Myriad Pro"/>
          <w:sz w:val="22"/>
          <w:szCs w:val="22"/>
        </w:rPr>
        <w:t>aFRR</w:t>
      </w:r>
      <w:proofErr w:type="spellEnd"/>
      <w:r w:rsidR="007E45C2" w:rsidRPr="002A5981">
        <w:rPr>
          <w:rFonts w:ascii="Myriad Pro" w:hAnsi="Myriad Pro"/>
          <w:sz w:val="22"/>
          <w:szCs w:val="22"/>
          <w:lang w:val="mk-MK"/>
        </w:rPr>
        <w:t xml:space="preserve"> балансен капацитет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во рок од пет работни дена о</w:t>
      </w:r>
      <w:r w:rsidR="00FD099C">
        <w:rPr>
          <w:rFonts w:ascii="Myriad Pro" w:hAnsi="Myriad Pro"/>
          <w:sz w:val="22"/>
          <w:szCs w:val="22"/>
          <w:lang w:val="mk-MK"/>
        </w:rPr>
        <w:t>д првиот работен ден на месецот</w:t>
      </w:r>
      <w:r w:rsidR="004273B5" w:rsidRPr="002A5981">
        <w:rPr>
          <w:rFonts w:ascii="Myriad Pro" w:hAnsi="Myriad Pro"/>
          <w:sz w:val="22"/>
          <w:szCs w:val="22"/>
          <w:lang w:val="mk-MK"/>
        </w:rPr>
        <w:t xml:space="preserve"> М+1 за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месецот </w:t>
      </w:r>
      <w:r w:rsidR="004273B5" w:rsidRPr="002A5981">
        <w:rPr>
          <w:rFonts w:ascii="Myriad Pro" w:hAnsi="Myriad Pro"/>
          <w:sz w:val="22"/>
          <w:szCs w:val="22"/>
          <w:lang w:val="mk-MK"/>
        </w:rPr>
        <w:t>М</w:t>
      </w:r>
      <w:r w:rsidR="00D555E0" w:rsidRPr="002A5981">
        <w:rPr>
          <w:rFonts w:ascii="Myriad Pro" w:hAnsi="Myriad Pro"/>
          <w:sz w:val="22"/>
          <w:szCs w:val="22"/>
          <w:lang w:val="mk-MK"/>
        </w:rPr>
        <w:t>.</w:t>
      </w:r>
    </w:p>
    <w:p w:rsidR="00D555E0" w:rsidRPr="002A5981" w:rsidRDefault="00D555E0" w:rsidP="00930AAE">
      <w:pPr>
        <w:pStyle w:val="Stavovi"/>
        <w:numPr>
          <w:ilvl w:val="0"/>
          <w:numId w:val="5"/>
        </w:numPr>
        <w:rPr>
          <w:rFonts w:ascii="Myriad Pro" w:hAnsi="Myriad Pro"/>
        </w:rPr>
      </w:pPr>
      <w:r w:rsidRPr="002A5981">
        <w:rPr>
          <w:rFonts w:ascii="Myriad Pro" w:hAnsi="Myriad Pro"/>
        </w:rPr>
        <w:t>Врз основа на извештајот од став (</w:t>
      </w:r>
      <w:r w:rsidR="00CD1DAA" w:rsidRPr="002A5981">
        <w:rPr>
          <w:rFonts w:ascii="Myriad Pro" w:hAnsi="Myriad Pro"/>
        </w:rPr>
        <w:t>4</w:t>
      </w:r>
      <w:r w:rsidRPr="002A5981">
        <w:rPr>
          <w:rFonts w:ascii="Myriad Pro" w:hAnsi="Myriad Pro"/>
        </w:rPr>
        <w:t xml:space="preserve">) од овој член, BSP </w:t>
      </w:r>
      <w:r w:rsidR="005265C4" w:rsidRPr="002A5981">
        <w:rPr>
          <w:rFonts w:ascii="Myriad Pro" w:hAnsi="Myriad Pro"/>
        </w:rPr>
        <w:t>изготвува и доставува</w:t>
      </w:r>
      <w:r w:rsidRPr="002A5981">
        <w:rPr>
          <w:rFonts w:ascii="Myriad Pro" w:hAnsi="Myriad Pro"/>
        </w:rPr>
        <w:t xml:space="preserve"> фактура </w:t>
      </w:r>
      <w:r w:rsidR="00930AAE" w:rsidRPr="002A5981">
        <w:rPr>
          <w:rFonts w:ascii="Myriad Pro" w:hAnsi="Myriad Pro"/>
        </w:rPr>
        <w:t xml:space="preserve">до </w:t>
      </w:r>
      <w:r w:rsidR="006145AC" w:rsidRPr="002A5981">
        <w:rPr>
          <w:rFonts w:ascii="Myriad Pro" w:hAnsi="Myriad Pro"/>
        </w:rPr>
        <w:t xml:space="preserve">АД </w:t>
      </w:r>
      <w:r w:rsidR="00930AAE" w:rsidRPr="002A5981">
        <w:rPr>
          <w:rFonts w:ascii="Myriad Pro" w:hAnsi="Myriad Pro"/>
        </w:rPr>
        <w:t>МЕПСО</w:t>
      </w:r>
      <w:r w:rsidR="005265C4" w:rsidRPr="002A5981">
        <w:rPr>
          <w:rFonts w:ascii="Myriad Pro" w:hAnsi="Myriad Pro"/>
        </w:rPr>
        <w:t xml:space="preserve"> </w:t>
      </w:r>
      <w:r w:rsidRPr="002A5981">
        <w:rPr>
          <w:rFonts w:ascii="Myriad Pro" w:hAnsi="Myriad Pro"/>
        </w:rPr>
        <w:t>во рок од осум</w:t>
      </w:r>
      <w:r w:rsidR="006145AC" w:rsidRPr="002A5981">
        <w:rPr>
          <w:rFonts w:ascii="Myriad Pro" w:hAnsi="Myriad Pro"/>
        </w:rPr>
        <w:t xml:space="preserve"> (8)</w:t>
      </w:r>
      <w:r w:rsidR="004273B5" w:rsidRPr="002A5981">
        <w:rPr>
          <w:rFonts w:ascii="Myriad Pro" w:hAnsi="Myriad Pro"/>
        </w:rPr>
        <w:t xml:space="preserve"> работни дена</w:t>
      </w:r>
      <w:r w:rsidRPr="002A5981">
        <w:rPr>
          <w:rFonts w:ascii="Myriad Pro" w:hAnsi="Myriad Pro"/>
        </w:rPr>
        <w:t xml:space="preserve"> од доставување на извештајот.</w:t>
      </w:r>
    </w:p>
    <w:p w:rsidR="00D555E0" w:rsidRPr="002A5981" w:rsidRDefault="00D555E0" w:rsidP="007E45C2">
      <w:pPr>
        <w:pStyle w:val="ListParagraph"/>
        <w:numPr>
          <w:ilvl w:val="0"/>
          <w:numId w:val="5"/>
        </w:numPr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>Датумот на доспевање е осум</w:t>
      </w:r>
      <w:r w:rsidR="00664FFF" w:rsidRPr="002A5981">
        <w:rPr>
          <w:rFonts w:ascii="Myriad Pro" w:hAnsi="Myriad Pro"/>
          <w:sz w:val="22"/>
          <w:szCs w:val="22"/>
          <w:lang w:val="mk-MK"/>
        </w:rPr>
        <w:t xml:space="preserve"> (8)</w:t>
      </w:r>
      <w:r w:rsidRPr="002A5981">
        <w:rPr>
          <w:rFonts w:ascii="Myriad Pro" w:hAnsi="Myriad Pro"/>
          <w:sz w:val="22"/>
          <w:szCs w:val="22"/>
          <w:lang w:val="mk-MK"/>
        </w:rPr>
        <w:t xml:space="preserve"> работни дена од датумот на издавање на фактурата.</w:t>
      </w:r>
    </w:p>
    <w:p w:rsidR="00CA35C3" w:rsidRPr="002A5981" w:rsidRDefault="00CA35C3" w:rsidP="00CA35C3">
      <w:pPr>
        <w:jc w:val="both"/>
        <w:rPr>
          <w:rFonts w:ascii="Myriad Pro" w:hAnsi="Myriad Pro"/>
          <w:sz w:val="22"/>
          <w:szCs w:val="22"/>
          <w:lang w:val="mk-MK"/>
        </w:rPr>
      </w:pPr>
      <w:bookmarkStart w:id="0" w:name="_GoBack"/>
      <w:bookmarkEnd w:id="0"/>
    </w:p>
    <w:p w:rsidR="00664FFF" w:rsidRPr="002A5981" w:rsidRDefault="00D555E0" w:rsidP="00930AAE">
      <w:pPr>
        <w:spacing w:after="120"/>
        <w:jc w:val="center"/>
        <w:rPr>
          <w:rFonts w:ascii="Myriad Pro" w:hAnsi="Myriad Pro"/>
          <w:b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>Финансиско порамнување на активираната балансна енергија</w:t>
      </w:r>
    </w:p>
    <w:p w:rsidR="00664FFF" w:rsidRPr="002A5981" w:rsidRDefault="00D555E0" w:rsidP="00152CCA">
      <w:pPr>
        <w:spacing w:after="120"/>
        <w:jc w:val="center"/>
        <w:rPr>
          <w:rFonts w:ascii="Myriad Pro" w:hAnsi="Myriad Pro"/>
          <w:b/>
          <w:sz w:val="22"/>
          <w:szCs w:val="22"/>
          <w:lang w:val="mk-MK"/>
        </w:rPr>
      </w:pPr>
      <w:r w:rsidRPr="002A5981">
        <w:rPr>
          <w:rFonts w:ascii="Myriad Pro" w:hAnsi="Myriad Pro"/>
          <w:b/>
          <w:sz w:val="22"/>
          <w:szCs w:val="22"/>
          <w:lang w:val="mk-MK"/>
        </w:rPr>
        <w:t xml:space="preserve">Член </w:t>
      </w:r>
      <w:r w:rsidR="00987C88" w:rsidRPr="002A5981">
        <w:rPr>
          <w:rFonts w:ascii="Myriad Pro" w:hAnsi="Myriad Pro"/>
          <w:b/>
          <w:sz w:val="22"/>
          <w:szCs w:val="22"/>
          <w:lang w:val="mk-MK"/>
        </w:rPr>
        <w:t>5</w:t>
      </w:r>
    </w:p>
    <w:p w:rsidR="003A2B3E" w:rsidRPr="002A5981" w:rsidRDefault="003A2B3E" w:rsidP="00152CCA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>Место на испорака на активираната</w:t>
      </w:r>
      <w:r w:rsidR="00E8771B" w:rsidRPr="002A5981">
        <w:rPr>
          <w:rFonts w:ascii="Myriad Pro" w:hAnsi="Myriad Pro"/>
          <w:sz w:val="22"/>
          <w:szCs w:val="22"/>
          <w:lang w:val="mk-MK"/>
        </w:rPr>
        <w:t xml:space="preserve"> aFRR </w:t>
      </w:r>
      <w:r w:rsidRPr="002A5981">
        <w:rPr>
          <w:rFonts w:ascii="Myriad Pro" w:hAnsi="Myriad Pro"/>
          <w:sz w:val="22"/>
          <w:szCs w:val="22"/>
          <w:lang w:val="mk-MK"/>
        </w:rPr>
        <w:t>балансна енергија е електропреносната мрежа на АД МЕПСО.</w:t>
      </w:r>
    </w:p>
    <w:p w:rsidR="007E45C2" w:rsidRPr="002A5981" w:rsidRDefault="006145AC" w:rsidP="00152CCA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5265C4" w:rsidRPr="002A5981">
        <w:rPr>
          <w:rFonts w:ascii="Myriad Pro" w:hAnsi="Myriad Pro"/>
          <w:sz w:val="22"/>
          <w:szCs w:val="22"/>
          <w:lang w:val="mk-MK"/>
        </w:rPr>
        <w:t xml:space="preserve">МЕПСО врши пресметка на активирана </w:t>
      </w:r>
      <w:proofErr w:type="spellStart"/>
      <w:r w:rsidR="005265C4" w:rsidRPr="002A5981">
        <w:rPr>
          <w:rFonts w:ascii="Myriad Pro" w:hAnsi="Myriad Pro"/>
          <w:sz w:val="22"/>
          <w:szCs w:val="22"/>
        </w:rPr>
        <w:t>aFRR</w:t>
      </w:r>
      <w:proofErr w:type="spellEnd"/>
      <w:r w:rsidR="005265C4" w:rsidRPr="002A5981">
        <w:rPr>
          <w:rFonts w:ascii="Myriad Pro" w:hAnsi="Myriad Pro"/>
          <w:sz w:val="22"/>
          <w:szCs w:val="22"/>
        </w:rPr>
        <w:t xml:space="preserve"> </w:t>
      </w:r>
      <w:r w:rsidR="004273B5" w:rsidRPr="002A5981">
        <w:rPr>
          <w:rFonts w:ascii="Myriad Pro" w:hAnsi="Myriad Pro"/>
          <w:sz w:val="22"/>
          <w:szCs w:val="22"/>
          <w:lang w:val="mk-MK"/>
        </w:rPr>
        <w:t xml:space="preserve">балансна енергија </w:t>
      </w:r>
      <w:r w:rsidR="005265C4" w:rsidRPr="002A5981">
        <w:rPr>
          <w:rFonts w:ascii="Myriad Pro" w:hAnsi="Myriad Pro"/>
          <w:sz w:val="22"/>
          <w:szCs w:val="22"/>
          <w:lang w:val="mk-MK"/>
        </w:rPr>
        <w:t xml:space="preserve">во согласност со Правилата за балансирање на ЕЕС, Член 27 </w:t>
      </w:r>
      <w:r w:rsidR="005265C4" w:rsidRPr="002A5981">
        <w:rPr>
          <w:rFonts w:ascii="Myriad Pro" w:hAnsi="Myriad Pro"/>
          <w:sz w:val="22"/>
          <w:szCs w:val="22"/>
        </w:rPr>
        <w:t>“</w:t>
      </w:r>
      <w:r w:rsidR="007E45C2" w:rsidRPr="002A5981">
        <w:rPr>
          <w:rFonts w:ascii="Myriad Pro" w:hAnsi="Myriad Pro"/>
          <w:sz w:val="22"/>
          <w:szCs w:val="22"/>
          <w:lang w:val="mk-MK"/>
        </w:rPr>
        <w:t>Методологија за пресметка на количината на активирана aFRR балансна енергија</w:t>
      </w:r>
      <w:r w:rsidR="005265C4" w:rsidRPr="002A5981">
        <w:rPr>
          <w:rFonts w:ascii="Myriad Pro" w:hAnsi="Myriad Pro"/>
          <w:sz w:val="22"/>
          <w:szCs w:val="22"/>
        </w:rPr>
        <w:t>”.</w:t>
      </w:r>
    </w:p>
    <w:p w:rsidR="00CA35C3" w:rsidRPr="002A5981" w:rsidRDefault="00CA35C3" w:rsidP="00152CCA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>Балансните единици на BSP се смета дека работат правилно во aFRR</w:t>
      </w:r>
      <w:r w:rsidR="004273B5" w:rsidRPr="002A5981">
        <w:rPr>
          <w:rFonts w:ascii="Myriad Pro" w:hAnsi="Myriad Pro"/>
          <w:sz w:val="22"/>
          <w:szCs w:val="22"/>
          <w:lang w:val="mk-MK"/>
        </w:rPr>
        <w:t xml:space="preserve"> регулација</w:t>
      </w:r>
      <w:r w:rsidRPr="002A5981">
        <w:rPr>
          <w:rFonts w:ascii="Myriad Pro" w:hAnsi="Myriad Pro"/>
          <w:sz w:val="22"/>
          <w:szCs w:val="22"/>
          <w:lang w:val="mk-MK"/>
        </w:rPr>
        <w:t xml:space="preserve"> ако работат кумулативно најмалку 45 минути во соодветниот час.</w:t>
      </w:r>
    </w:p>
    <w:p w:rsidR="00D555E0" w:rsidRPr="002A5981" w:rsidRDefault="006145AC" w:rsidP="00152CCA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врши финансиско порамнување за активираната aFRR балансна енергија врз основа на податоците за количините на активираната aFRR балансна енергија и цените од аукциите за aFRR балансна енергија. </w:t>
      </w:r>
    </w:p>
    <w:p w:rsidR="00D555E0" w:rsidRPr="002A5981" w:rsidRDefault="00D555E0" w:rsidP="00930AAE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За финансиско порамнување на активираната aFRR балансна енергија се користат цените што ги дава BSPs </w:t>
      </w:r>
      <w:r w:rsidR="00CD1DAA" w:rsidRPr="002A5981">
        <w:rPr>
          <w:rFonts w:ascii="Myriad Pro" w:hAnsi="Myriad Pro"/>
          <w:sz w:val="22"/>
          <w:szCs w:val="22"/>
          <w:lang w:val="mk-MK"/>
        </w:rPr>
        <w:t>во Д-1 за денот Д</w:t>
      </w:r>
      <w:r w:rsidRPr="002A5981">
        <w:rPr>
          <w:rFonts w:ascii="Myriad Pro" w:hAnsi="Myriad Pro"/>
          <w:sz w:val="22"/>
          <w:szCs w:val="22"/>
          <w:lang w:val="mk-MK"/>
        </w:rPr>
        <w:t xml:space="preserve">. </w:t>
      </w:r>
    </w:p>
    <w:p w:rsidR="00D555E0" w:rsidRPr="002A5981" w:rsidRDefault="00D555E0" w:rsidP="00930AAE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Период на </w:t>
      </w:r>
      <w:r w:rsidR="00073D03" w:rsidRPr="002A5981">
        <w:rPr>
          <w:rFonts w:ascii="Myriad Pro" w:hAnsi="Myriad Pro"/>
          <w:sz w:val="22"/>
          <w:szCs w:val="22"/>
          <w:lang w:val="mk-MK"/>
        </w:rPr>
        <w:t xml:space="preserve">финансиско </w:t>
      </w:r>
      <w:r w:rsidRPr="002A5981">
        <w:rPr>
          <w:rFonts w:ascii="Myriad Pro" w:hAnsi="Myriad Pro"/>
          <w:sz w:val="22"/>
          <w:szCs w:val="22"/>
          <w:lang w:val="mk-MK"/>
        </w:rPr>
        <w:t>порамнување  е еден календарски месец.</w:t>
      </w:r>
    </w:p>
    <w:p w:rsidR="00D555E0" w:rsidRPr="002A5981" w:rsidRDefault="006145AC" w:rsidP="00930AAE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испраќа извештај од пресметка на активирана aFRR балансна енергија со цел финансиско порамнување, </w:t>
      </w:r>
      <w:r w:rsidRPr="002A5981">
        <w:rPr>
          <w:rFonts w:ascii="Myriad Pro" w:hAnsi="Myriad Pro"/>
          <w:sz w:val="22"/>
          <w:szCs w:val="22"/>
          <w:lang w:val="mk-MK"/>
        </w:rPr>
        <w:t xml:space="preserve">најдоцна </w:t>
      </w:r>
      <w:r w:rsidR="00D555E0" w:rsidRPr="002A5981">
        <w:rPr>
          <w:rFonts w:ascii="Myriad Pro" w:hAnsi="Myriad Pro"/>
          <w:sz w:val="22"/>
          <w:szCs w:val="22"/>
          <w:lang w:val="mk-MK"/>
        </w:rPr>
        <w:t>седум работни денови по завршување на односниот  месец.</w:t>
      </w:r>
    </w:p>
    <w:p w:rsidR="00D555E0" w:rsidRPr="002A5981" w:rsidRDefault="00D555E0" w:rsidP="00152CCA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>BSP има право на приговор на извештајот и истиот треба да го испрати</w:t>
      </w:r>
      <w:r w:rsidR="004273B5" w:rsidRPr="002A5981">
        <w:rPr>
          <w:rFonts w:ascii="Myriad Pro" w:hAnsi="Myriad Pro"/>
          <w:sz w:val="22"/>
          <w:szCs w:val="22"/>
          <w:lang w:val="mk-MK"/>
        </w:rPr>
        <w:t xml:space="preserve"> преку електронска пошта (</w:t>
      </w:r>
      <w:r w:rsidR="004273B5" w:rsidRPr="002A5981">
        <w:rPr>
          <w:rFonts w:ascii="Myriad Pro" w:hAnsi="Myriad Pro"/>
          <w:sz w:val="22"/>
          <w:szCs w:val="22"/>
        </w:rPr>
        <w:t>E-mail)</w:t>
      </w:r>
      <w:r w:rsidRPr="002A5981">
        <w:rPr>
          <w:rFonts w:ascii="Myriad Pro" w:hAnsi="Myriad Pro"/>
          <w:sz w:val="22"/>
          <w:szCs w:val="22"/>
          <w:lang w:val="mk-MK"/>
        </w:rPr>
        <w:t xml:space="preserve"> не подоцна од два работни денови </w:t>
      </w:r>
      <w:r w:rsidR="00872B39" w:rsidRPr="002A5981">
        <w:rPr>
          <w:rFonts w:ascii="Myriad Pro" w:hAnsi="Myriad Pro"/>
          <w:sz w:val="22"/>
          <w:szCs w:val="22"/>
          <w:lang w:val="mk-MK"/>
        </w:rPr>
        <w:t xml:space="preserve">по приемот на извештајот од </w:t>
      </w:r>
      <w:r w:rsidR="00DC5810" w:rsidRPr="002A5981">
        <w:rPr>
          <w:rFonts w:ascii="Myriad Pro" w:hAnsi="Myriad Pro"/>
          <w:sz w:val="22"/>
          <w:szCs w:val="22"/>
        </w:rPr>
        <w:t>A</w:t>
      </w:r>
      <w:r w:rsidR="00DC5810" w:rsidRPr="002A5981">
        <w:rPr>
          <w:rFonts w:ascii="Myriad Pro" w:hAnsi="Myriad Pro"/>
          <w:sz w:val="22"/>
          <w:szCs w:val="22"/>
          <w:lang w:val="mk-MK"/>
        </w:rPr>
        <w:t xml:space="preserve">Д </w:t>
      </w:r>
      <w:r w:rsidR="00872B39" w:rsidRPr="002A5981">
        <w:rPr>
          <w:rFonts w:ascii="Myriad Pro" w:hAnsi="Myriad Pro"/>
          <w:sz w:val="22"/>
          <w:szCs w:val="22"/>
          <w:lang w:val="mk-MK"/>
        </w:rPr>
        <w:t>МЕПСО</w:t>
      </w:r>
      <w:r w:rsidRPr="002A5981">
        <w:rPr>
          <w:rFonts w:ascii="Myriad Pro" w:hAnsi="Myriad Pro"/>
          <w:sz w:val="22"/>
          <w:szCs w:val="22"/>
          <w:lang w:val="mk-MK"/>
        </w:rPr>
        <w:t xml:space="preserve">. </w:t>
      </w:r>
      <w:r w:rsidR="006145AC"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Pr="002A5981">
        <w:rPr>
          <w:rFonts w:ascii="Myriad Pro" w:hAnsi="Myriad Pro"/>
          <w:sz w:val="22"/>
          <w:szCs w:val="22"/>
          <w:lang w:val="mk-MK"/>
        </w:rPr>
        <w:t xml:space="preserve"> го разгледува приговорот и го подготвува и испраќа конечниот извештај за порамнување не подоцна од еден работен ден откако ќе го добие приговорот и тој станува конечeн за финансиското порамнување.</w:t>
      </w:r>
    </w:p>
    <w:p w:rsidR="00D555E0" w:rsidRPr="002A5981" w:rsidRDefault="00D555E0" w:rsidP="00152CCA">
      <w:pPr>
        <w:pStyle w:val="ListParagraph"/>
        <w:numPr>
          <w:ilvl w:val="0"/>
          <w:numId w:val="22"/>
        </w:numPr>
        <w:spacing w:after="120"/>
        <w:ind w:left="721" w:hanging="43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Доколку BSP не е задоволен од конечниот извештај може да покрене постапка пред РКЕ, но тоа не ја одложува обврската за плаќање на фактурата.     </w:t>
      </w:r>
    </w:p>
    <w:p w:rsidR="00D555E0" w:rsidRPr="002A5981" w:rsidRDefault="00073D03" w:rsidP="00152CCA">
      <w:pPr>
        <w:pStyle w:val="ListParagraph"/>
        <w:numPr>
          <w:ilvl w:val="0"/>
          <w:numId w:val="22"/>
        </w:numPr>
        <w:spacing w:after="120"/>
        <w:ind w:left="721" w:hanging="43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proofErr w:type="spellStart"/>
      <w:r w:rsidRPr="002A5981">
        <w:rPr>
          <w:rFonts w:ascii="Myriad Pro" w:hAnsi="Myriad Pro"/>
          <w:sz w:val="22"/>
          <w:szCs w:val="22"/>
        </w:rPr>
        <w:t>Врз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основа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на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извештајот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од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став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(</w:t>
      </w:r>
      <w:r w:rsidR="000E5A7A" w:rsidRPr="002A5981">
        <w:rPr>
          <w:rFonts w:ascii="Myriad Pro" w:hAnsi="Myriad Pro"/>
          <w:sz w:val="22"/>
          <w:szCs w:val="22"/>
        </w:rPr>
        <w:t>7</w:t>
      </w:r>
      <w:r w:rsidRPr="002A5981">
        <w:rPr>
          <w:rFonts w:ascii="Myriad Pro" w:hAnsi="Myriad Pro"/>
          <w:sz w:val="22"/>
          <w:szCs w:val="22"/>
        </w:rPr>
        <w:t xml:space="preserve">) </w:t>
      </w:r>
      <w:proofErr w:type="spellStart"/>
      <w:r w:rsidRPr="002A5981">
        <w:rPr>
          <w:rFonts w:ascii="Myriad Pro" w:hAnsi="Myriad Pro"/>
          <w:sz w:val="22"/>
          <w:szCs w:val="22"/>
        </w:rPr>
        <w:t>од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овој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член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, </w:t>
      </w:r>
      <w:r w:rsidR="006145AC"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="000E5A7A" w:rsidRPr="002A5981">
        <w:rPr>
          <w:rFonts w:ascii="Myriad Pro" w:hAnsi="Myriad Pro"/>
          <w:sz w:val="22"/>
          <w:szCs w:val="22"/>
          <w:lang w:val="mk-MK"/>
        </w:rPr>
        <w:t xml:space="preserve"> изготвува и доставува фактура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за активирана балансна енергија за регулација надолу до BSP</w:t>
      </w:r>
      <w:r w:rsidR="004130D1" w:rsidRPr="002A5981">
        <w:rPr>
          <w:rFonts w:ascii="Myriad Pro" w:hAnsi="Myriad Pro"/>
          <w:sz w:val="22"/>
          <w:szCs w:val="22"/>
          <w:lang w:val="mk-MK"/>
        </w:rPr>
        <w:t xml:space="preserve"> нај</w:t>
      </w:r>
      <w:r w:rsidR="00872B39" w:rsidRPr="002A5981">
        <w:rPr>
          <w:rFonts w:ascii="Myriad Pro" w:hAnsi="Myriad Pro"/>
          <w:sz w:val="22"/>
          <w:szCs w:val="22"/>
          <w:lang w:val="mk-MK"/>
        </w:rPr>
        <w:t>доцна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12 работни денови по завршување на односниот месец.</w:t>
      </w:r>
    </w:p>
    <w:p w:rsidR="00D555E0" w:rsidRPr="002A5981" w:rsidRDefault="00073D03" w:rsidP="000E5A7A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proofErr w:type="spellStart"/>
      <w:r w:rsidRPr="002A5981">
        <w:rPr>
          <w:rFonts w:ascii="Myriad Pro" w:hAnsi="Myriad Pro"/>
          <w:sz w:val="22"/>
          <w:szCs w:val="22"/>
        </w:rPr>
        <w:lastRenderedPageBreak/>
        <w:t>Врз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основа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на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извештајот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од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став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(</w:t>
      </w:r>
      <w:r w:rsidR="000E5A7A" w:rsidRPr="002A5981">
        <w:rPr>
          <w:rFonts w:ascii="Myriad Pro" w:hAnsi="Myriad Pro"/>
          <w:sz w:val="22"/>
          <w:szCs w:val="22"/>
          <w:lang w:val="mk-MK"/>
        </w:rPr>
        <w:t>7</w:t>
      </w:r>
      <w:r w:rsidRPr="002A5981">
        <w:rPr>
          <w:rFonts w:ascii="Myriad Pro" w:hAnsi="Myriad Pro"/>
          <w:sz w:val="22"/>
          <w:szCs w:val="22"/>
        </w:rPr>
        <w:t xml:space="preserve">) </w:t>
      </w:r>
      <w:proofErr w:type="spellStart"/>
      <w:r w:rsidRPr="002A5981">
        <w:rPr>
          <w:rFonts w:ascii="Myriad Pro" w:hAnsi="Myriad Pro"/>
          <w:sz w:val="22"/>
          <w:szCs w:val="22"/>
        </w:rPr>
        <w:t>од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овој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sz w:val="22"/>
          <w:szCs w:val="22"/>
        </w:rPr>
        <w:t>член</w:t>
      </w:r>
      <w:proofErr w:type="spellEnd"/>
      <w:r w:rsidRPr="002A5981">
        <w:rPr>
          <w:rFonts w:ascii="Myriad Pro" w:hAnsi="Myriad Pro"/>
          <w:sz w:val="22"/>
          <w:szCs w:val="22"/>
        </w:rPr>
        <w:t xml:space="preserve">, 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BSP </w:t>
      </w:r>
      <w:r w:rsidR="000E5A7A" w:rsidRPr="002A5981">
        <w:rPr>
          <w:rFonts w:ascii="Myriad Pro" w:hAnsi="Myriad Pro"/>
          <w:sz w:val="22"/>
          <w:szCs w:val="22"/>
          <w:lang w:val="mk-MK"/>
        </w:rPr>
        <w:t>изготвува и доставува фактура за активирана балансна енергија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за регулација нагоре до </w:t>
      </w:r>
      <w:r w:rsidR="006145AC"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8122F5" w:rsidRPr="002A5981">
        <w:rPr>
          <w:rFonts w:ascii="Myriad Pro" w:hAnsi="Myriad Pro"/>
          <w:sz w:val="22"/>
          <w:szCs w:val="22"/>
          <w:lang w:val="mk-MK"/>
        </w:rPr>
        <w:t>МЕПСО</w:t>
      </w:r>
      <w:r w:rsidR="00D555E0" w:rsidRPr="002A5981">
        <w:rPr>
          <w:rFonts w:ascii="Myriad Pro" w:hAnsi="Myriad Pro"/>
          <w:sz w:val="22"/>
          <w:szCs w:val="22"/>
          <w:lang w:val="mk-MK"/>
        </w:rPr>
        <w:t xml:space="preserve"> </w:t>
      </w:r>
      <w:r w:rsidR="004130D1" w:rsidRPr="002A5981">
        <w:rPr>
          <w:rFonts w:ascii="Myriad Pro" w:hAnsi="Myriad Pro"/>
          <w:sz w:val="22"/>
          <w:szCs w:val="22"/>
          <w:lang w:val="mk-MK"/>
        </w:rPr>
        <w:t>нај</w:t>
      </w:r>
      <w:r w:rsidR="00872B39" w:rsidRPr="002A5981">
        <w:rPr>
          <w:rFonts w:ascii="Myriad Pro" w:hAnsi="Myriad Pro"/>
          <w:sz w:val="22"/>
          <w:szCs w:val="22"/>
          <w:lang w:val="mk-MK"/>
        </w:rPr>
        <w:t xml:space="preserve">доцна </w:t>
      </w:r>
      <w:r w:rsidR="00D555E0" w:rsidRPr="002A5981">
        <w:rPr>
          <w:rFonts w:ascii="Myriad Pro" w:hAnsi="Myriad Pro"/>
          <w:sz w:val="22"/>
          <w:szCs w:val="22"/>
          <w:lang w:val="mk-MK"/>
        </w:rPr>
        <w:t>12 работни денови по завршување на односниот месец.</w:t>
      </w:r>
    </w:p>
    <w:p w:rsidR="00D555E0" w:rsidRPr="002A5981" w:rsidRDefault="00D555E0" w:rsidP="00152CCA">
      <w:pPr>
        <w:pStyle w:val="ListParagraph"/>
        <w:numPr>
          <w:ilvl w:val="0"/>
          <w:numId w:val="22"/>
        </w:numPr>
        <w:spacing w:after="120"/>
        <w:ind w:left="721" w:hanging="437"/>
        <w:contextualSpacing w:val="0"/>
        <w:jc w:val="both"/>
        <w:rPr>
          <w:rFonts w:ascii="Myriad Pro" w:hAnsi="Myriad Pro"/>
          <w:sz w:val="22"/>
          <w:szCs w:val="22"/>
          <w:lang w:val="mk-MK"/>
        </w:rPr>
      </w:pPr>
      <w:r w:rsidRPr="002A5981">
        <w:rPr>
          <w:rFonts w:ascii="Myriad Pro" w:hAnsi="Myriad Pro"/>
          <w:sz w:val="22"/>
          <w:szCs w:val="22"/>
          <w:lang w:val="mk-MK"/>
        </w:rPr>
        <w:t xml:space="preserve">Датумот на доспевање на фактурата е осум </w:t>
      </w:r>
      <w:r w:rsidR="006145AC" w:rsidRPr="002A5981">
        <w:rPr>
          <w:rFonts w:ascii="Myriad Pro" w:hAnsi="Myriad Pro"/>
          <w:sz w:val="22"/>
          <w:szCs w:val="22"/>
          <w:lang w:val="mk-MK"/>
        </w:rPr>
        <w:t xml:space="preserve">(8) </w:t>
      </w:r>
      <w:r w:rsidRPr="002A5981">
        <w:rPr>
          <w:rFonts w:ascii="Myriad Pro" w:hAnsi="Myriad Pro"/>
          <w:sz w:val="22"/>
          <w:szCs w:val="22"/>
          <w:lang w:val="mk-MK"/>
        </w:rPr>
        <w:t>работни денови од датумот на издавање на фактурата.</w:t>
      </w:r>
    </w:p>
    <w:p w:rsidR="00C84733" w:rsidRPr="002A5981" w:rsidRDefault="00C84733" w:rsidP="00C84733">
      <w:pPr>
        <w:pStyle w:val="Stavovi"/>
        <w:numPr>
          <w:ilvl w:val="0"/>
          <w:numId w:val="0"/>
        </w:numPr>
        <w:ind w:left="450"/>
        <w:rPr>
          <w:rFonts w:ascii="Myriad Pro" w:hAnsi="Myriad Pro"/>
        </w:rPr>
      </w:pPr>
    </w:p>
    <w:p w:rsidR="00D555E0" w:rsidRPr="002A5981" w:rsidRDefault="00D555E0" w:rsidP="00152CCA">
      <w:pPr>
        <w:pStyle w:val="Caption"/>
        <w:spacing w:after="120"/>
        <w:jc w:val="center"/>
        <w:rPr>
          <w:rFonts w:ascii="Myriad Pro" w:hAnsi="Myriad Pro"/>
          <w:color w:val="auto"/>
          <w:sz w:val="22"/>
          <w:szCs w:val="22"/>
        </w:rPr>
      </w:pP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Последици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од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неисполнување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на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обврските</w:t>
      </w:r>
      <w:proofErr w:type="spellEnd"/>
    </w:p>
    <w:p w:rsidR="00D555E0" w:rsidRPr="002A5981" w:rsidRDefault="00D555E0" w:rsidP="00D555E0">
      <w:pPr>
        <w:keepNext/>
        <w:spacing w:after="120" w:line="259" w:lineRule="auto"/>
        <w:jc w:val="center"/>
        <w:rPr>
          <w:rFonts w:ascii="Myriad Pro" w:hAnsi="Myriad Pro" w:cstheme="minorHAnsi"/>
          <w:b/>
          <w:bCs/>
          <w:sz w:val="22"/>
          <w:szCs w:val="22"/>
        </w:rPr>
      </w:pPr>
      <w:proofErr w:type="spellStart"/>
      <w:r w:rsidRPr="002A5981">
        <w:rPr>
          <w:rFonts w:ascii="Myriad Pro" w:hAnsi="Myriad Pro"/>
          <w:b/>
          <w:bCs/>
          <w:sz w:val="22"/>
          <w:szCs w:val="22"/>
        </w:rPr>
        <w:t>Член</w:t>
      </w:r>
      <w:proofErr w:type="spellEnd"/>
      <w:r w:rsidRPr="002A5981">
        <w:rPr>
          <w:rFonts w:ascii="Myriad Pro" w:hAnsi="Myriad Pro"/>
          <w:b/>
          <w:bCs/>
          <w:sz w:val="22"/>
          <w:szCs w:val="22"/>
        </w:rPr>
        <w:t xml:space="preserve"> </w:t>
      </w:r>
      <w:r w:rsidR="00987C88" w:rsidRPr="002A5981">
        <w:rPr>
          <w:rFonts w:ascii="Myriad Pro" w:hAnsi="Myriad Pro"/>
          <w:b/>
          <w:bCs/>
          <w:sz w:val="22"/>
          <w:szCs w:val="22"/>
        </w:rPr>
        <w:t>6</w:t>
      </w:r>
    </w:p>
    <w:p w:rsidR="00D555E0" w:rsidRPr="002A5981" w:rsidRDefault="00D555E0" w:rsidP="00D555E0">
      <w:pPr>
        <w:pStyle w:val="Stavovi"/>
        <w:numPr>
          <w:ilvl w:val="0"/>
          <w:numId w:val="3"/>
        </w:numPr>
        <w:rPr>
          <w:rFonts w:ascii="Myriad Pro" w:hAnsi="Myriad Pro"/>
        </w:rPr>
      </w:pPr>
      <w:r w:rsidRPr="002A5981">
        <w:rPr>
          <w:rFonts w:ascii="Myriad Pro" w:hAnsi="Myriad Pro"/>
        </w:rPr>
        <w:t>Ако BSP не успее целосно да го обезбеди закупениот aFRR балансен капацитет, необезбедениот капацитет (разликата помеѓу закупениот и обезбедениот капацитет) нема да му биде платен.</w:t>
      </w:r>
    </w:p>
    <w:p w:rsidR="00C80D27" w:rsidRPr="002A5981" w:rsidRDefault="00C80D27" w:rsidP="00C80D27">
      <w:pPr>
        <w:pStyle w:val="Stavovi"/>
        <w:numPr>
          <w:ilvl w:val="0"/>
          <w:numId w:val="3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Необезбедениот капацитет во временскиот интервал е основа за пресметување на трошокот за необезбедената </w:t>
      </w:r>
      <w:r w:rsidRPr="002A5981">
        <w:rPr>
          <w:rFonts w:ascii="Myriad Pro" w:hAnsi="Myriad Pro"/>
          <w:lang w:val="en-US"/>
        </w:rPr>
        <w:t>a</w:t>
      </w:r>
      <w:r w:rsidRPr="002A5981">
        <w:rPr>
          <w:rFonts w:ascii="Myriad Pro" w:hAnsi="Myriad Pro"/>
        </w:rPr>
        <w:t xml:space="preserve">FRR балансната енергија кој се пресметува согласно Член </w:t>
      </w:r>
      <w:r w:rsidRPr="002A5981">
        <w:rPr>
          <w:rFonts w:ascii="Myriad Pro" w:hAnsi="Myriad Pro"/>
          <w:lang w:val="en-US"/>
        </w:rPr>
        <w:t xml:space="preserve">30 </w:t>
      </w:r>
      <w:r w:rsidRPr="002A5981">
        <w:rPr>
          <w:rFonts w:ascii="Myriad Pro" w:hAnsi="Myriad Pro"/>
        </w:rPr>
        <w:t xml:space="preserve">став 2 од Правилата за Балансирање на електроенергетскиот систем. </w:t>
      </w:r>
    </w:p>
    <w:p w:rsidR="00073D03" w:rsidRPr="002A5981" w:rsidRDefault="00073D03" w:rsidP="00073D03">
      <w:pPr>
        <w:pStyle w:val="Stavovi"/>
        <w:numPr>
          <w:ilvl w:val="0"/>
          <w:numId w:val="3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АД МЕПСО изготвува извештај за необезбедениот </w:t>
      </w:r>
      <w:r w:rsidRPr="002A5981">
        <w:rPr>
          <w:rFonts w:ascii="Myriad Pro" w:hAnsi="Myriad Pro"/>
          <w:lang w:val="en-US"/>
        </w:rPr>
        <w:t>a</w:t>
      </w:r>
      <w:r w:rsidRPr="002A5981">
        <w:rPr>
          <w:rFonts w:ascii="Myriad Pro" w:hAnsi="Myriad Pro"/>
        </w:rPr>
        <w:t xml:space="preserve">FRR балансен капацитет и во рок од пет работни дена од првиот работен ден на месецот М+1 за месецот М го доставува до </w:t>
      </w:r>
      <w:r w:rsidRPr="002A5981">
        <w:rPr>
          <w:rFonts w:ascii="Myriad Pro" w:hAnsi="Myriad Pro"/>
          <w:lang w:val="en-US"/>
        </w:rPr>
        <w:t>BSP</w:t>
      </w:r>
      <w:r w:rsidRPr="002A5981">
        <w:rPr>
          <w:rFonts w:ascii="Myriad Pro" w:hAnsi="Myriad Pro"/>
        </w:rPr>
        <w:t xml:space="preserve">. </w:t>
      </w:r>
    </w:p>
    <w:p w:rsidR="00073D03" w:rsidRPr="002A5981" w:rsidRDefault="00073D03" w:rsidP="00073D03">
      <w:pPr>
        <w:pStyle w:val="Stavovi"/>
        <w:numPr>
          <w:ilvl w:val="0"/>
          <w:numId w:val="3"/>
        </w:numPr>
        <w:rPr>
          <w:rFonts w:ascii="Myriad Pro" w:hAnsi="Myriad Pro"/>
        </w:rPr>
      </w:pPr>
      <w:r w:rsidRPr="002A5981">
        <w:rPr>
          <w:rFonts w:ascii="Myriad Pro" w:hAnsi="Myriad Pro"/>
        </w:rPr>
        <w:t>Врз основа на извештајот од став (</w:t>
      </w:r>
      <w:r w:rsidRPr="002A5981">
        <w:rPr>
          <w:rFonts w:ascii="Myriad Pro" w:hAnsi="Myriad Pro"/>
          <w:lang w:val="en-US"/>
        </w:rPr>
        <w:t>3</w:t>
      </w:r>
      <w:r w:rsidRPr="002A5981">
        <w:rPr>
          <w:rFonts w:ascii="Myriad Pro" w:hAnsi="Myriad Pro"/>
        </w:rPr>
        <w:t xml:space="preserve">)  од овој член, АД МЕПСО  испраќа фактура за необезбедениот </w:t>
      </w:r>
      <w:r w:rsidRPr="002A5981">
        <w:rPr>
          <w:rFonts w:ascii="Myriad Pro" w:hAnsi="Myriad Pro"/>
          <w:lang w:val="en-US"/>
        </w:rPr>
        <w:t>a</w:t>
      </w:r>
      <w:r w:rsidRPr="002A5981">
        <w:rPr>
          <w:rFonts w:ascii="Myriad Pro" w:hAnsi="Myriad Pro"/>
        </w:rPr>
        <w:t>FRR балансен капацитет до BSP најдоцна 12 работни дена по завршување на односниот месец.</w:t>
      </w:r>
    </w:p>
    <w:p w:rsidR="00C80D27" w:rsidRPr="002A5981" w:rsidRDefault="00C80D27" w:rsidP="00C80D27">
      <w:pPr>
        <w:pStyle w:val="Stavovi"/>
        <w:numPr>
          <w:ilvl w:val="0"/>
          <w:numId w:val="3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Датумот на доспевање на фактурата е осум </w:t>
      </w:r>
      <w:r w:rsidR="006145AC" w:rsidRPr="002A5981">
        <w:rPr>
          <w:rFonts w:ascii="Myriad Pro" w:hAnsi="Myriad Pro"/>
        </w:rPr>
        <w:t xml:space="preserve">(8) </w:t>
      </w:r>
      <w:r w:rsidRPr="002A5981">
        <w:rPr>
          <w:rFonts w:ascii="Myriad Pro" w:hAnsi="Myriad Pro"/>
        </w:rPr>
        <w:t>работни дена од датумот на издавање на фактурата.</w:t>
      </w:r>
    </w:p>
    <w:p w:rsidR="00B05F39" w:rsidRPr="002A5981" w:rsidRDefault="00B05F39" w:rsidP="000D5907">
      <w:pPr>
        <w:jc w:val="center"/>
        <w:rPr>
          <w:rFonts w:ascii="Myriad Pro" w:hAnsi="Myriad Pro"/>
          <w:b/>
          <w:sz w:val="22"/>
          <w:szCs w:val="22"/>
          <w:lang w:val="mk-MK"/>
        </w:rPr>
      </w:pPr>
    </w:p>
    <w:p w:rsidR="00E8771B" w:rsidRPr="002A5981" w:rsidRDefault="00E8771B" w:rsidP="000D5907">
      <w:pPr>
        <w:jc w:val="center"/>
        <w:rPr>
          <w:rFonts w:ascii="Myriad Pro" w:hAnsi="Myriad Pro"/>
          <w:b/>
          <w:sz w:val="22"/>
          <w:szCs w:val="22"/>
          <w:lang w:val="mk-MK"/>
        </w:rPr>
      </w:pPr>
    </w:p>
    <w:p w:rsidR="00FB2E60" w:rsidRPr="002A5981" w:rsidRDefault="00FB2E60" w:rsidP="00152CCA">
      <w:pPr>
        <w:pStyle w:val="Caption"/>
        <w:spacing w:after="120"/>
        <w:jc w:val="center"/>
        <w:rPr>
          <w:rFonts w:ascii="Myriad Pro" w:hAnsi="Myriad Pro"/>
          <w:sz w:val="22"/>
          <w:szCs w:val="22"/>
        </w:rPr>
      </w:pP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Гаранција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за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квалитетно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извршување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на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договорот</w:t>
      </w:r>
      <w:proofErr w:type="spellEnd"/>
    </w:p>
    <w:p w:rsidR="002E4156" w:rsidRPr="002A5981" w:rsidRDefault="000D5907" w:rsidP="00152CCA">
      <w:pPr>
        <w:pStyle w:val="Caption"/>
        <w:spacing w:after="120"/>
        <w:jc w:val="center"/>
        <w:rPr>
          <w:rFonts w:ascii="Myriad Pro" w:hAnsi="Myriad Pro"/>
          <w:sz w:val="22"/>
          <w:szCs w:val="22"/>
        </w:rPr>
      </w:pP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Член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r w:rsidR="00987C88" w:rsidRPr="002A5981">
        <w:rPr>
          <w:rFonts w:ascii="Myriad Pro" w:hAnsi="Myriad Pro"/>
          <w:color w:val="auto"/>
          <w:sz w:val="22"/>
          <w:szCs w:val="22"/>
        </w:rPr>
        <w:t>7</w:t>
      </w:r>
    </w:p>
    <w:p w:rsidR="009712F4" w:rsidRPr="002A5981" w:rsidRDefault="009712F4" w:rsidP="00871DC1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Секој давател на балансни услуги кој е внесен во Регистарот на Даватели на балансни услуги доколку учествувал на месечната аукција за набавка на аFFR балансен капацитет и балансна енергија и чија понуда е избрана за најповолна е должен да извади финансиска гаранција за квалитетно извршување на услугите најдоцна 5 дена по завршување на месечната аукција за аFRR на износ во висина од 10% од вредноста на договорениот аFRR балансен капацитет со важност до 7 дена по завршување на тековниот месец. </w:t>
      </w:r>
    </w:p>
    <w:p w:rsidR="002A5981" w:rsidRPr="002A5981" w:rsidRDefault="002A5981" w:rsidP="002A5981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За осигурување на исплатите од овој Договор кои </w:t>
      </w:r>
      <w:r w:rsidR="00D30CD8">
        <w:rPr>
          <w:rFonts w:ascii="Myriad Pro" w:hAnsi="Myriad Pro"/>
        </w:rPr>
        <w:t>BSP</w:t>
      </w:r>
      <w:r w:rsidRPr="002A5981">
        <w:rPr>
          <w:rFonts w:ascii="Myriad Pro" w:hAnsi="Myriad Pro"/>
        </w:rPr>
        <w:t xml:space="preserve"> ги има кон АД МЕПСО, </w:t>
      </w:r>
      <w:r w:rsidR="00D30CD8">
        <w:rPr>
          <w:rFonts w:ascii="Myriad Pro" w:hAnsi="Myriad Pro"/>
        </w:rPr>
        <w:t>BSP</w:t>
      </w:r>
      <w:r w:rsidRPr="002A5981">
        <w:rPr>
          <w:rFonts w:ascii="Myriad Pro" w:hAnsi="Myriad Pro"/>
        </w:rPr>
        <w:t xml:space="preserve"> во рок од пет (5) дена по потпишувањето на овој Договор, ќе му поднесе на АД МЕПСО банкарска гаранција која е составен дел на овој договор или ќе депонира</w:t>
      </w:r>
      <w:r w:rsidR="00D30CD8">
        <w:rPr>
          <w:rFonts w:ascii="Myriad Pro" w:hAnsi="Myriad Pro"/>
        </w:rPr>
        <w:t xml:space="preserve"> средства на сметка на АД МЕПСО</w:t>
      </w:r>
      <w:r w:rsidRPr="002A5981">
        <w:rPr>
          <w:rFonts w:ascii="Myriad Pro" w:hAnsi="Myriad Pro"/>
        </w:rPr>
        <w:t>.</w:t>
      </w:r>
    </w:p>
    <w:p w:rsidR="002A5981" w:rsidRPr="002A5981" w:rsidRDefault="002A5981" w:rsidP="00B325F6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t>Висината на банкарската гаранција и/или депонираните средства изнесува од 10% од вредноста на договорениот аFRR балансен капацитет.</w:t>
      </w:r>
    </w:p>
    <w:p w:rsidR="002A5981" w:rsidRPr="002A5981" w:rsidRDefault="002A5981" w:rsidP="00B325F6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t>Банкарската гаранција ќе биде платива со презентација на фактура и изјава потпишана од овластено лице дека фактурата не е платена во рок и начин предвиден со овој договор.</w:t>
      </w:r>
    </w:p>
    <w:p w:rsidR="002A5981" w:rsidRPr="002A5981" w:rsidRDefault="002A5981" w:rsidP="002A5981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Банкарската гаранција мора да биде издадени во форма во која банката - гарант безусловно и неотповикливо се обврзува да го плати секој износ до гарантираниот и тоа на прво писмено барање доставено од АД МЕПСО. </w:t>
      </w:r>
    </w:p>
    <w:p w:rsidR="002A5981" w:rsidRPr="002A5981" w:rsidRDefault="002A5981" w:rsidP="002A5981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Доколку </w:t>
      </w:r>
      <w:r w:rsidR="00D30CD8">
        <w:rPr>
          <w:rFonts w:ascii="Myriad Pro" w:hAnsi="Myriad Pro"/>
        </w:rPr>
        <w:t>BSP</w:t>
      </w:r>
      <w:r w:rsidRPr="002A5981">
        <w:rPr>
          <w:rFonts w:ascii="Myriad Pro" w:hAnsi="Myriad Pro"/>
        </w:rPr>
        <w:t xml:space="preserve"> не ја плати својата обврска во договорениот рок, АД МЕПСО му доставува писмена опомена. </w:t>
      </w:r>
    </w:p>
    <w:p w:rsidR="002A5981" w:rsidRPr="002A5981" w:rsidRDefault="002A5981" w:rsidP="002A5981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lastRenderedPageBreak/>
        <w:t xml:space="preserve">Доколку и во рок од 8 (осум) дена од доставувањето на писмената опомена </w:t>
      </w:r>
      <w:r w:rsidR="00D30CD8">
        <w:rPr>
          <w:rFonts w:ascii="Myriad Pro" w:hAnsi="Myriad Pro"/>
        </w:rPr>
        <w:t>BSP</w:t>
      </w:r>
      <w:r w:rsidRPr="002A5981">
        <w:rPr>
          <w:rFonts w:ascii="Myriad Pro" w:hAnsi="Myriad Pro"/>
        </w:rPr>
        <w:t xml:space="preserve"> не ја плати доспеаната обврска, АД МЕПСО ќе ја наплати банкарската гаранција и/или ќе ги искористи депонираните средсва.</w:t>
      </w:r>
    </w:p>
    <w:p w:rsidR="002A5981" w:rsidRPr="002A5981" w:rsidRDefault="002A5981" w:rsidP="00283CBB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t>Рокот на важноста на банкарската гаранција и/или депонираните средства ќе го покрие предметниот месец плус 1</w:t>
      </w:r>
      <w:r>
        <w:rPr>
          <w:rFonts w:ascii="Myriad Pro" w:hAnsi="Myriad Pro"/>
        </w:rPr>
        <w:t>5</w:t>
      </w:r>
      <w:r w:rsidRPr="002A5981">
        <w:rPr>
          <w:rFonts w:ascii="Myriad Pro" w:hAnsi="Myriad Pro"/>
        </w:rPr>
        <w:t xml:space="preserve"> (</w:t>
      </w:r>
      <w:r>
        <w:rPr>
          <w:rFonts w:ascii="Myriad Pro" w:hAnsi="Myriad Pro"/>
        </w:rPr>
        <w:t>петнаесет</w:t>
      </w:r>
      <w:r w:rsidRPr="002A5981">
        <w:rPr>
          <w:rFonts w:ascii="Myriad Pro" w:hAnsi="Myriad Pro"/>
        </w:rPr>
        <w:t xml:space="preserve">) дена од денот на валутата на фактурата за тој месец. </w:t>
      </w:r>
    </w:p>
    <w:p w:rsidR="00987C88" w:rsidRPr="002A5981" w:rsidRDefault="00987C88" w:rsidP="00B05F39">
      <w:pPr>
        <w:rPr>
          <w:rFonts w:ascii="Myriad Pro" w:hAnsi="Myriad Pro"/>
          <w:b/>
          <w:sz w:val="22"/>
          <w:szCs w:val="22"/>
        </w:rPr>
      </w:pPr>
    </w:p>
    <w:p w:rsidR="00FB2E60" w:rsidRPr="002A5981" w:rsidRDefault="00FB2E60" w:rsidP="00152CCA">
      <w:pPr>
        <w:pStyle w:val="Caption"/>
        <w:spacing w:after="120"/>
        <w:jc w:val="center"/>
        <w:rPr>
          <w:rFonts w:ascii="Myriad Pro" w:hAnsi="Myriad Pro"/>
          <w:sz w:val="22"/>
          <w:szCs w:val="22"/>
        </w:rPr>
      </w:pP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Раскинување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на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договор</w:t>
      </w:r>
      <w:proofErr w:type="spellEnd"/>
    </w:p>
    <w:p w:rsidR="000D5907" w:rsidRPr="002A5981" w:rsidRDefault="000D5907" w:rsidP="00152CCA">
      <w:pPr>
        <w:pStyle w:val="Caption"/>
        <w:spacing w:after="120"/>
        <w:jc w:val="center"/>
        <w:rPr>
          <w:rFonts w:ascii="Myriad Pro" w:hAnsi="Myriad Pro"/>
          <w:sz w:val="22"/>
          <w:szCs w:val="22"/>
        </w:rPr>
      </w:pP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Член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r w:rsidR="00987C88" w:rsidRPr="002A5981">
        <w:rPr>
          <w:rFonts w:ascii="Myriad Pro" w:hAnsi="Myriad Pro"/>
          <w:color w:val="auto"/>
          <w:sz w:val="22"/>
          <w:szCs w:val="22"/>
        </w:rPr>
        <w:t>8</w:t>
      </w:r>
    </w:p>
    <w:p w:rsidR="000D5907" w:rsidRPr="002A5981" w:rsidRDefault="000D5907" w:rsidP="00871DC1">
      <w:pPr>
        <w:pStyle w:val="Stavovi"/>
        <w:numPr>
          <w:ilvl w:val="0"/>
          <w:numId w:val="28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Кога една од договорните страни нема да ја исполни својата обврска, другата договорна страна може да бара исполнување на обврската или да го раскине договорот без отказен рок. </w:t>
      </w:r>
    </w:p>
    <w:p w:rsidR="000D5907" w:rsidRPr="002A5981" w:rsidRDefault="000D5907" w:rsidP="00871DC1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t>Договорната страна која поради неисполнување на договорните обврски бара продолжување на исполнување на обврската или раскинување на договорот,</w:t>
      </w:r>
      <w:r w:rsidRPr="002A5981">
        <w:rPr>
          <w:rFonts w:ascii="Myriad Pro" w:hAnsi="Myriad Pro"/>
          <w:lang w:val="ru-RU"/>
        </w:rPr>
        <w:t xml:space="preserve"> </w:t>
      </w:r>
      <w:r w:rsidRPr="002A5981">
        <w:rPr>
          <w:rFonts w:ascii="Myriad Pro" w:hAnsi="Myriad Pro"/>
        </w:rPr>
        <w:t>должна е тоа да и го соопшти на другата договорна страна без одлагање по писмен пат.</w:t>
      </w:r>
    </w:p>
    <w:p w:rsidR="00964145" w:rsidRPr="002A5981" w:rsidRDefault="000D5907" w:rsidP="00871DC1">
      <w:pPr>
        <w:pStyle w:val="Stavovi"/>
        <w:numPr>
          <w:ilvl w:val="0"/>
          <w:numId w:val="24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Во случај на раскинување на договорот по вина на </w:t>
      </w:r>
      <w:r w:rsidR="008122F5" w:rsidRPr="002A5981">
        <w:rPr>
          <w:rFonts w:ascii="Myriad Pro" w:hAnsi="Myriad Pro"/>
        </w:rPr>
        <w:t>BSP</w:t>
      </w:r>
      <w:r w:rsidRPr="002A5981">
        <w:rPr>
          <w:rFonts w:ascii="Myriad Pro" w:hAnsi="Myriad Pro"/>
        </w:rPr>
        <w:t xml:space="preserve">, </w:t>
      </w:r>
      <w:r w:rsidR="008122F5" w:rsidRPr="002A5981">
        <w:rPr>
          <w:rFonts w:ascii="Myriad Pro" w:hAnsi="Myriad Pro"/>
        </w:rPr>
        <w:t>АД МЕПСО</w:t>
      </w:r>
      <w:r w:rsidRPr="002A5981">
        <w:rPr>
          <w:rFonts w:ascii="Myriad Pro" w:hAnsi="Myriad Pro"/>
        </w:rPr>
        <w:t xml:space="preserve"> ја наплаќа </w:t>
      </w:r>
      <w:r w:rsidR="00073D03" w:rsidRPr="002A5981">
        <w:rPr>
          <w:rFonts w:ascii="Myriad Pro" w:hAnsi="Myriad Pro"/>
        </w:rPr>
        <w:t>финансиска</w:t>
      </w:r>
      <w:r w:rsidRPr="002A5981">
        <w:rPr>
          <w:rFonts w:ascii="Myriad Pro" w:hAnsi="Myriad Pro"/>
        </w:rPr>
        <w:t xml:space="preserve"> гаранција.</w:t>
      </w:r>
    </w:p>
    <w:p w:rsidR="00FB2E60" w:rsidRPr="002A5981" w:rsidRDefault="00FB2E60" w:rsidP="00152CCA">
      <w:pPr>
        <w:pStyle w:val="Caption"/>
        <w:spacing w:after="120"/>
        <w:jc w:val="center"/>
        <w:rPr>
          <w:rFonts w:ascii="Myriad Pro" w:hAnsi="Myriad Pro"/>
          <w:sz w:val="22"/>
          <w:szCs w:val="22"/>
        </w:rPr>
      </w:pP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Доверливост</w:t>
      </w:r>
      <w:proofErr w:type="spellEnd"/>
    </w:p>
    <w:p w:rsidR="00462A02" w:rsidRPr="002A5981" w:rsidRDefault="00462A02" w:rsidP="00152CCA">
      <w:pPr>
        <w:pStyle w:val="Caption"/>
        <w:spacing w:after="120"/>
        <w:jc w:val="center"/>
        <w:rPr>
          <w:rFonts w:ascii="Myriad Pro" w:hAnsi="Myriad Pro"/>
          <w:sz w:val="22"/>
          <w:szCs w:val="22"/>
        </w:rPr>
      </w:pPr>
      <w:proofErr w:type="spellStart"/>
      <w:r w:rsidRPr="002A5981">
        <w:rPr>
          <w:rFonts w:ascii="Myriad Pro" w:hAnsi="Myriad Pro"/>
          <w:color w:val="auto"/>
          <w:sz w:val="22"/>
          <w:szCs w:val="22"/>
        </w:rPr>
        <w:t>Член</w:t>
      </w:r>
      <w:proofErr w:type="spellEnd"/>
      <w:r w:rsidRPr="002A5981">
        <w:rPr>
          <w:rFonts w:ascii="Myriad Pro" w:hAnsi="Myriad Pro"/>
          <w:color w:val="auto"/>
          <w:sz w:val="22"/>
          <w:szCs w:val="22"/>
        </w:rPr>
        <w:t xml:space="preserve"> </w:t>
      </w:r>
      <w:r w:rsidR="00987C88" w:rsidRPr="002A5981">
        <w:rPr>
          <w:rFonts w:ascii="Myriad Pro" w:hAnsi="Myriad Pro"/>
          <w:color w:val="auto"/>
          <w:sz w:val="22"/>
          <w:szCs w:val="22"/>
        </w:rPr>
        <w:t>9</w:t>
      </w:r>
    </w:p>
    <w:p w:rsidR="00573C41" w:rsidRPr="002A5981" w:rsidRDefault="00573C41" w:rsidP="00573C41">
      <w:pPr>
        <w:pStyle w:val="Stavovi"/>
        <w:numPr>
          <w:ilvl w:val="0"/>
          <w:numId w:val="30"/>
        </w:numPr>
        <w:rPr>
          <w:rFonts w:ascii="Myriad Pro" w:hAnsi="Myriad Pro"/>
        </w:rPr>
      </w:pPr>
      <w:r w:rsidRPr="002A5981">
        <w:rPr>
          <w:rFonts w:ascii="Myriad Pro" w:hAnsi="Myriad Pro"/>
        </w:rPr>
        <w:t>АД МЕПСО има обврска да објавува податоци кои се дел од овој Договор согласно “Правила за формата, содржината и динамиката на доставување и објавување на податоци”.</w:t>
      </w:r>
    </w:p>
    <w:p w:rsidR="00462A02" w:rsidRPr="002A5981" w:rsidRDefault="009B602B" w:rsidP="00573C41">
      <w:pPr>
        <w:pStyle w:val="Stavovi"/>
        <w:numPr>
          <w:ilvl w:val="0"/>
          <w:numId w:val="30"/>
        </w:numPr>
        <w:rPr>
          <w:rFonts w:ascii="Myriad Pro" w:hAnsi="Myriad Pro"/>
        </w:rPr>
      </w:pPr>
      <w:r w:rsidRPr="002A5981">
        <w:rPr>
          <w:rFonts w:ascii="Myriad Pro" w:hAnsi="Myriad Pro"/>
        </w:rPr>
        <w:t xml:space="preserve">За останатите податоци кои не се предмет на објавување согласно </w:t>
      </w:r>
      <w:r w:rsidRPr="002A5981">
        <w:rPr>
          <w:rFonts w:ascii="Myriad Pro" w:hAnsi="Myriad Pro"/>
          <w:lang w:val="en-US"/>
        </w:rPr>
        <w:t>“</w:t>
      </w:r>
      <w:r w:rsidRPr="002A5981">
        <w:rPr>
          <w:rFonts w:ascii="Myriad Pro" w:hAnsi="Myriad Pro"/>
        </w:rPr>
        <w:t>Правила за формата, содржината и динамиката на доставување и објавување на податоци</w:t>
      </w:r>
      <w:r w:rsidRPr="002A5981">
        <w:rPr>
          <w:rFonts w:ascii="Myriad Pro" w:hAnsi="Myriad Pro"/>
          <w:lang w:val="en-US"/>
        </w:rPr>
        <w:t>”</w:t>
      </w:r>
      <w:r w:rsidRPr="002A5981">
        <w:rPr>
          <w:rFonts w:ascii="Myriad Pro" w:hAnsi="Myriad Pro"/>
        </w:rPr>
        <w:t>,</w:t>
      </w:r>
      <w:r w:rsidR="00573C41" w:rsidRPr="002A5981">
        <w:rPr>
          <w:rFonts w:ascii="Myriad Pro" w:hAnsi="Myriad Pro"/>
        </w:rPr>
        <w:t xml:space="preserve"> </w:t>
      </w:r>
      <w:r w:rsidRPr="002A5981">
        <w:rPr>
          <w:rFonts w:ascii="Myriad Pro" w:hAnsi="Myriad Pro"/>
        </w:rPr>
        <w:t>д</w:t>
      </w:r>
      <w:r w:rsidR="00462A02" w:rsidRPr="002A5981">
        <w:rPr>
          <w:rFonts w:ascii="Myriad Pro" w:hAnsi="Myriad Pro"/>
        </w:rPr>
        <w:t xml:space="preserve">оговорните страни се согласни да не откриваат детали од овој договор на трета страна, било да се во пишана, усна или електронска форма. </w:t>
      </w:r>
    </w:p>
    <w:p w:rsidR="00462A02" w:rsidRPr="002A5981" w:rsidRDefault="002A5981" w:rsidP="00871DC1">
      <w:pPr>
        <w:pStyle w:val="Stavovi"/>
        <w:numPr>
          <w:ilvl w:val="0"/>
          <w:numId w:val="30"/>
        </w:numPr>
        <w:rPr>
          <w:rFonts w:ascii="Myriad Pro" w:hAnsi="Myriad Pro"/>
        </w:rPr>
      </w:pPr>
      <w:r>
        <w:rPr>
          <w:rFonts w:ascii="Myriad Pro" w:hAnsi="Myriad Pro"/>
        </w:rPr>
        <w:t>О</w:t>
      </w:r>
      <w:r w:rsidR="00462A02" w:rsidRPr="002A5981">
        <w:rPr>
          <w:rFonts w:ascii="Myriad Pro" w:hAnsi="Myriad Pro"/>
        </w:rPr>
        <w:t>граничување</w:t>
      </w:r>
      <w:r>
        <w:rPr>
          <w:rFonts w:ascii="Myriad Pro" w:hAnsi="Myriad Pro"/>
        </w:rPr>
        <w:t>то од став (2) од овој член</w:t>
      </w:r>
      <w:r w:rsidR="00462A02" w:rsidRPr="002A5981">
        <w:rPr>
          <w:rFonts w:ascii="Myriad Pro" w:hAnsi="Myriad Pro"/>
        </w:rPr>
        <w:t xml:space="preserve"> нема да важи само при аплицирање во Банки од страна на договорните страни и Државните тела кои би вршеле инспекција.</w:t>
      </w:r>
    </w:p>
    <w:p w:rsidR="00B95C27" w:rsidRPr="002A5981" w:rsidRDefault="00B95C27" w:rsidP="00B95C27">
      <w:pPr>
        <w:ind w:right="-767"/>
        <w:jc w:val="both"/>
        <w:rPr>
          <w:rFonts w:ascii="Myriad Pro" w:hAnsi="Myriad Pro"/>
          <w:sz w:val="22"/>
          <w:szCs w:val="22"/>
          <w:lang w:val="mk-MK"/>
        </w:rPr>
      </w:pPr>
    </w:p>
    <w:p w:rsidR="00B95C27" w:rsidRPr="002A5981" w:rsidRDefault="00B95C27" w:rsidP="00B95C27">
      <w:pPr>
        <w:ind w:right="-767"/>
        <w:jc w:val="both"/>
        <w:rPr>
          <w:rFonts w:ascii="Myriad Pro" w:hAnsi="Myriad Pro"/>
          <w:sz w:val="22"/>
          <w:szCs w:val="22"/>
          <w:lang w:val="mk-MK"/>
        </w:rPr>
      </w:pPr>
    </w:p>
    <w:p w:rsidR="00B95C27" w:rsidRPr="002A5981" w:rsidRDefault="00B95C27" w:rsidP="00B95C27">
      <w:pPr>
        <w:ind w:right="-767"/>
        <w:jc w:val="both"/>
        <w:rPr>
          <w:rFonts w:ascii="Myriad Pro" w:hAnsi="Myriad Pro"/>
          <w:sz w:val="22"/>
          <w:szCs w:val="22"/>
          <w:lang w:val="mk-MK"/>
        </w:rPr>
      </w:pPr>
    </w:p>
    <w:p w:rsidR="00B95C27" w:rsidRPr="002A5981" w:rsidRDefault="00D30CD8" w:rsidP="00B95C27">
      <w:pPr>
        <w:ind w:right="-767"/>
        <w:jc w:val="both"/>
        <w:rPr>
          <w:rFonts w:ascii="Myriad Pro" w:hAnsi="Myriad Pro"/>
          <w:sz w:val="22"/>
          <w:szCs w:val="22"/>
          <w:lang w:val="mk-MK"/>
        </w:rPr>
      </w:pPr>
      <w:r>
        <w:rPr>
          <w:rFonts w:ascii="Myriad Pro" w:hAnsi="Myriad Pro"/>
          <w:sz w:val="22"/>
          <w:szCs w:val="22"/>
          <w:lang w:val="mk-MK"/>
        </w:rPr>
        <w:t>BSP</w:t>
      </w:r>
      <w:r w:rsidR="00B95C27" w:rsidRPr="002A5981">
        <w:rPr>
          <w:rFonts w:ascii="Myriad Pro" w:hAnsi="Myriad Pro"/>
          <w:sz w:val="22"/>
          <w:szCs w:val="22"/>
          <w:lang w:val="mk-MK"/>
        </w:rPr>
        <w:tab/>
      </w:r>
      <w:r w:rsidR="00B95C27" w:rsidRPr="002A5981">
        <w:rPr>
          <w:rFonts w:ascii="Myriad Pro" w:hAnsi="Myriad Pro"/>
          <w:sz w:val="22"/>
          <w:szCs w:val="22"/>
          <w:lang w:val="mk-MK"/>
        </w:rPr>
        <w:tab/>
      </w:r>
      <w:r w:rsidR="00B95C27" w:rsidRPr="002A5981">
        <w:rPr>
          <w:rFonts w:ascii="Myriad Pro" w:hAnsi="Myriad Pro"/>
          <w:sz w:val="22"/>
          <w:szCs w:val="22"/>
          <w:lang w:val="mk-MK"/>
        </w:rPr>
        <w:tab/>
      </w:r>
      <w:r w:rsidR="00B95C27" w:rsidRPr="002A5981">
        <w:rPr>
          <w:rFonts w:ascii="Myriad Pro" w:hAnsi="Myriad Pro"/>
          <w:sz w:val="22"/>
          <w:szCs w:val="22"/>
          <w:lang w:val="mk-MK"/>
        </w:rPr>
        <w:tab/>
      </w:r>
      <w:r w:rsidR="00B95C27" w:rsidRPr="002A5981">
        <w:rPr>
          <w:rFonts w:ascii="Myriad Pro" w:hAnsi="Myriad Pro"/>
          <w:sz w:val="22"/>
          <w:szCs w:val="22"/>
          <w:lang w:val="mk-MK"/>
        </w:rPr>
        <w:tab/>
      </w:r>
      <w:r w:rsidR="00B95C27" w:rsidRPr="002A5981">
        <w:rPr>
          <w:rFonts w:ascii="Myriad Pro" w:hAnsi="Myriad Pro"/>
          <w:sz w:val="22"/>
          <w:szCs w:val="22"/>
          <w:lang w:val="mk-MK"/>
        </w:rPr>
        <w:tab/>
      </w:r>
      <w:r w:rsidR="00B95C27" w:rsidRPr="002A5981">
        <w:rPr>
          <w:rFonts w:ascii="Myriad Pro" w:hAnsi="Myriad Pro"/>
          <w:sz w:val="22"/>
          <w:szCs w:val="22"/>
          <w:lang w:val="mk-MK"/>
        </w:rPr>
        <w:tab/>
      </w:r>
      <w:r w:rsidR="00B95C27" w:rsidRPr="002A5981">
        <w:rPr>
          <w:rFonts w:ascii="Myriad Pro" w:hAnsi="Myriad Pro"/>
          <w:sz w:val="22"/>
          <w:szCs w:val="22"/>
          <w:lang w:val="mk-MK"/>
        </w:rPr>
        <w:tab/>
      </w:r>
      <w:r w:rsidR="00B95C27" w:rsidRPr="002A5981">
        <w:rPr>
          <w:rFonts w:ascii="Myriad Pro" w:hAnsi="Myriad Pro"/>
          <w:sz w:val="22"/>
          <w:szCs w:val="22"/>
          <w:lang w:val="mk-MK"/>
        </w:rPr>
        <w:tab/>
      </w:r>
      <w:r w:rsidR="000260A8">
        <w:rPr>
          <w:rFonts w:ascii="Myriad Pro" w:hAnsi="Myriad Pro"/>
          <w:sz w:val="22"/>
          <w:szCs w:val="22"/>
        </w:rPr>
        <w:t xml:space="preserve">                        </w:t>
      </w:r>
      <w:r w:rsidR="006145AC" w:rsidRPr="002A5981">
        <w:rPr>
          <w:rFonts w:ascii="Myriad Pro" w:hAnsi="Myriad Pro"/>
          <w:sz w:val="22"/>
          <w:szCs w:val="22"/>
          <w:lang w:val="mk-MK"/>
        </w:rPr>
        <w:t xml:space="preserve">АД </w:t>
      </w:r>
      <w:r w:rsidR="00B95C27" w:rsidRPr="002A5981">
        <w:rPr>
          <w:rFonts w:ascii="Myriad Pro" w:hAnsi="Myriad Pro"/>
          <w:sz w:val="22"/>
          <w:szCs w:val="22"/>
          <w:lang w:val="mk-MK"/>
        </w:rPr>
        <w:t>МЕПСО</w:t>
      </w:r>
    </w:p>
    <w:p w:rsidR="00AF011C" w:rsidRPr="002A5981" w:rsidRDefault="00AF011C" w:rsidP="00217592">
      <w:pPr>
        <w:jc w:val="both"/>
        <w:rPr>
          <w:rFonts w:ascii="Myriad Pro" w:hAnsi="Myriad Pro"/>
          <w:sz w:val="22"/>
          <w:szCs w:val="22"/>
        </w:rPr>
      </w:pPr>
    </w:p>
    <w:p w:rsidR="00462A02" w:rsidRPr="002A5981" w:rsidRDefault="006145AC" w:rsidP="00217592">
      <w:pPr>
        <w:jc w:val="both"/>
        <w:rPr>
          <w:rFonts w:ascii="Myriad Pro" w:hAnsi="Myriad Pro"/>
          <w:sz w:val="22"/>
          <w:szCs w:val="22"/>
        </w:rPr>
      </w:pPr>
      <w:r w:rsidRPr="002A5981">
        <w:rPr>
          <w:rFonts w:ascii="Myriad Pro" w:hAnsi="Myriad Pro"/>
          <w:sz w:val="22"/>
          <w:szCs w:val="22"/>
        </w:rPr>
        <w:t>__________________</w:t>
      </w:r>
      <w:r w:rsidRPr="002A5981">
        <w:rPr>
          <w:rFonts w:ascii="Myriad Pro" w:hAnsi="Myriad Pro"/>
          <w:sz w:val="22"/>
          <w:szCs w:val="22"/>
        </w:rPr>
        <w:tab/>
      </w:r>
      <w:r w:rsidRPr="002A5981">
        <w:rPr>
          <w:rFonts w:ascii="Myriad Pro" w:hAnsi="Myriad Pro"/>
          <w:sz w:val="22"/>
          <w:szCs w:val="22"/>
        </w:rPr>
        <w:tab/>
      </w:r>
      <w:r w:rsidRPr="002A5981">
        <w:rPr>
          <w:rFonts w:ascii="Myriad Pro" w:hAnsi="Myriad Pro"/>
          <w:sz w:val="22"/>
          <w:szCs w:val="22"/>
        </w:rPr>
        <w:tab/>
      </w:r>
      <w:r w:rsidRPr="002A5981">
        <w:rPr>
          <w:rFonts w:ascii="Myriad Pro" w:hAnsi="Myriad Pro"/>
          <w:sz w:val="22"/>
          <w:szCs w:val="22"/>
        </w:rPr>
        <w:tab/>
      </w:r>
      <w:r w:rsidRPr="002A5981">
        <w:rPr>
          <w:rFonts w:ascii="Myriad Pro" w:hAnsi="Myriad Pro"/>
          <w:sz w:val="22"/>
          <w:szCs w:val="22"/>
        </w:rPr>
        <w:tab/>
      </w:r>
      <w:r w:rsidRPr="002A5981">
        <w:rPr>
          <w:rFonts w:ascii="Myriad Pro" w:hAnsi="Myriad Pro"/>
          <w:sz w:val="22"/>
          <w:szCs w:val="22"/>
        </w:rPr>
        <w:tab/>
      </w:r>
      <w:r w:rsidR="000260A8">
        <w:rPr>
          <w:rFonts w:ascii="Myriad Pro" w:hAnsi="Myriad Pro"/>
          <w:sz w:val="22"/>
          <w:szCs w:val="22"/>
        </w:rPr>
        <w:t xml:space="preserve">                      </w:t>
      </w:r>
      <w:r w:rsidR="00AF011C" w:rsidRPr="002A5981">
        <w:rPr>
          <w:rFonts w:ascii="Myriad Pro" w:hAnsi="Myriad Pro"/>
          <w:sz w:val="22"/>
          <w:szCs w:val="22"/>
        </w:rPr>
        <w:t>__________________</w:t>
      </w:r>
    </w:p>
    <w:sectPr w:rsidR="00462A02" w:rsidRPr="002A5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BD0"/>
    <w:multiLevelType w:val="hybridMultilevel"/>
    <w:tmpl w:val="D91208E2"/>
    <w:lvl w:ilvl="0" w:tplc="BB4E48B6">
      <w:start w:val="1"/>
      <w:numFmt w:val="decimal"/>
      <w:pStyle w:val="Stavovi"/>
      <w:lvlText w:val="(%1)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DAB5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C2FB0"/>
    <w:multiLevelType w:val="multilevel"/>
    <w:tmpl w:val="4E884D38"/>
    <w:lvl w:ilvl="0">
      <w:start w:val="1"/>
      <w:numFmt w:val="decimal"/>
      <w:lvlText w:val="%1."/>
      <w:lvlJc w:val="left"/>
      <w:pPr>
        <w:ind w:left="-774" w:hanging="360"/>
      </w:pPr>
      <w:rPr>
        <w:rFonts w:cs="MAC C Times"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2" w:hanging="1800"/>
      </w:pPr>
      <w:rPr>
        <w:rFonts w:hint="default"/>
      </w:rPr>
    </w:lvl>
  </w:abstractNum>
  <w:abstractNum w:abstractNumId="2" w15:restartNumberingAfterBreak="0">
    <w:nsid w:val="3FC8113E"/>
    <w:multiLevelType w:val="hybridMultilevel"/>
    <w:tmpl w:val="12127E1E"/>
    <w:lvl w:ilvl="0" w:tplc="1374C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4C06"/>
    <w:multiLevelType w:val="hybridMultilevel"/>
    <w:tmpl w:val="766A1AC2"/>
    <w:lvl w:ilvl="0" w:tplc="125A6BD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135C7"/>
    <w:multiLevelType w:val="hybridMultilevel"/>
    <w:tmpl w:val="766A1AC2"/>
    <w:lvl w:ilvl="0" w:tplc="125A6BD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0461B"/>
    <w:multiLevelType w:val="hybridMultilevel"/>
    <w:tmpl w:val="EA96159A"/>
    <w:lvl w:ilvl="0" w:tplc="7C5C3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C2147"/>
    <w:multiLevelType w:val="hybridMultilevel"/>
    <w:tmpl w:val="8D62787E"/>
    <w:lvl w:ilvl="0" w:tplc="7C5C3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65432"/>
    <w:multiLevelType w:val="hybridMultilevel"/>
    <w:tmpl w:val="B95A37F8"/>
    <w:lvl w:ilvl="0" w:tplc="7C5C3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563FD"/>
    <w:multiLevelType w:val="hybridMultilevel"/>
    <w:tmpl w:val="A1AE3CFA"/>
    <w:lvl w:ilvl="0" w:tplc="7E4A54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CD2088F"/>
    <w:multiLevelType w:val="hybridMultilevel"/>
    <w:tmpl w:val="EA96159A"/>
    <w:lvl w:ilvl="0" w:tplc="7C5C3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3584C"/>
    <w:multiLevelType w:val="hybridMultilevel"/>
    <w:tmpl w:val="858AA952"/>
    <w:lvl w:ilvl="0" w:tplc="08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75D66"/>
    <w:multiLevelType w:val="hybridMultilevel"/>
    <w:tmpl w:val="82BCD6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5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C3"/>
    <w:rsid w:val="00025036"/>
    <w:rsid w:val="00025C78"/>
    <w:rsid w:val="000260A8"/>
    <w:rsid w:val="00036073"/>
    <w:rsid w:val="00053FC1"/>
    <w:rsid w:val="00056C88"/>
    <w:rsid w:val="00073D03"/>
    <w:rsid w:val="000A3535"/>
    <w:rsid w:val="000C5941"/>
    <w:rsid w:val="000C664F"/>
    <w:rsid w:val="000D5907"/>
    <w:rsid w:val="000E5A7A"/>
    <w:rsid w:val="00117725"/>
    <w:rsid w:val="00136BF8"/>
    <w:rsid w:val="001379CC"/>
    <w:rsid w:val="00152CCA"/>
    <w:rsid w:val="001C05D4"/>
    <w:rsid w:val="002002D4"/>
    <w:rsid w:val="00217592"/>
    <w:rsid w:val="00225CF0"/>
    <w:rsid w:val="0024075B"/>
    <w:rsid w:val="00244780"/>
    <w:rsid w:val="00294EEB"/>
    <w:rsid w:val="002A5981"/>
    <w:rsid w:val="002E4156"/>
    <w:rsid w:val="00303978"/>
    <w:rsid w:val="003340AD"/>
    <w:rsid w:val="003359A4"/>
    <w:rsid w:val="00336A89"/>
    <w:rsid w:val="003737BD"/>
    <w:rsid w:val="00392EC3"/>
    <w:rsid w:val="003A2B3E"/>
    <w:rsid w:val="003C075A"/>
    <w:rsid w:val="003D0038"/>
    <w:rsid w:val="003D5788"/>
    <w:rsid w:val="003E3825"/>
    <w:rsid w:val="003E7B0C"/>
    <w:rsid w:val="004130D1"/>
    <w:rsid w:val="00421F6F"/>
    <w:rsid w:val="004273B5"/>
    <w:rsid w:val="00427C46"/>
    <w:rsid w:val="00462A02"/>
    <w:rsid w:val="0046552D"/>
    <w:rsid w:val="00476535"/>
    <w:rsid w:val="004A69A0"/>
    <w:rsid w:val="005265C4"/>
    <w:rsid w:val="00555AEB"/>
    <w:rsid w:val="00573C41"/>
    <w:rsid w:val="00573C47"/>
    <w:rsid w:val="005C5C32"/>
    <w:rsid w:val="005D0E97"/>
    <w:rsid w:val="005F2782"/>
    <w:rsid w:val="00601E6B"/>
    <w:rsid w:val="006145AC"/>
    <w:rsid w:val="00633CF0"/>
    <w:rsid w:val="0064046C"/>
    <w:rsid w:val="00664FFF"/>
    <w:rsid w:val="00665CDE"/>
    <w:rsid w:val="006665F8"/>
    <w:rsid w:val="006875D3"/>
    <w:rsid w:val="00696C86"/>
    <w:rsid w:val="006C40CD"/>
    <w:rsid w:val="0073125C"/>
    <w:rsid w:val="00771D02"/>
    <w:rsid w:val="00794EB9"/>
    <w:rsid w:val="007D7020"/>
    <w:rsid w:val="007E19D8"/>
    <w:rsid w:val="007E45C2"/>
    <w:rsid w:val="008122F5"/>
    <w:rsid w:val="008403BC"/>
    <w:rsid w:val="00844656"/>
    <w:rsid w:val="00855CA6"/>
    <w:rsid w:val="00857551"/>
    <w:rsid w:val="00871DC1"/>
    <w:rsid w:val="00872B39"/>
    <w:rsid w:val="008A637B"/>
    <w:rsid w:val="008E303E"/>
    <w:rsid w:val="009122FB"/>
    <w:rsid w:val="0092053A"/>
    <w:rsid w:val="00930AAE"/>
    <w:rsid w:val="00954063"/>
    <w:rsid w:val="00964145"/>
    <w:rsid w:val="009712F4"/>
    <w:rsid w:val="00987C88"/>
    <w:rsid w:val="009B602B"/>
    <w:rsid w:val="009D0F57"/>
    <w:rsid w:val="009E2FED"/>
    <w:rsid w:val="009F6007"/>
    <w:rsid w:val="00A22081"/>
    <w:rsid w:val="00A2576D"/>
    <w:rsid w:val="00A31685"/>
    <w:rsid w:val="00A32804"/>
    <w:rsid w:val="00A4338D"/>
    <w:rsid w:val="00A72972"/>
    <w:rsid w:val="00AB797D"/>
    <w:rsid w:val="00AF011C"/>
    <w:rsid w:val="00B05F39"/>
    <w:rsid w:val="00B145A0"/>
    <w:rsid w:val="00B57739"/>
    <w:rsid w:val="00B65290"/>
    <w:rsid w:val="00B71E8C"/>
    <w:rsid w:val="00B748DA"/>
    <w:rsid w:val="00B95C27"/>
    <w:rsid w:val="00BC1F72"/>
    <w:rsid w:val="00BE77A8"/>
    <w:rsid w:val="00BE7D29"/>
    <w:rsid w:val="00C80D27"/>
    <w:rsid w:val="00C84733"/>
    <w:rsid w:val="00CA35C3"/>
    <w:rsid w:val="00CD1DAA"/>
    <w:rsid w:val="00CE7C01"/>
    <w:rsid w:val="00CF2690"/>
    <w:rsid w:val="00CF4FFA"/>
    <w:rsid w:val="00D30CD8"/>
    <w:rsid w:val="00D555E0"/>
    <w:rsid w:val="00D56003"/>
    <w:rsid w:val="00D92A3F"/>
    <w:rsid w:val="00DC5810"/>
    <w:rsid w:val="00E109CD"/>
    <w:rsid w:val="00E273FA"/>
    <w:rsid w:val="00E50934"/>
    <w:rsid w:val="00E729F4"/>
    <w:rsid w:val="00E8771B"/>
    <w:rsid w:val="00F16352"/>
    <w:rsid w:val="00F3367B"/>
    <w:rsid w:val="00F359C5"/>
    <w:rsid w:val="00F42E58"/>
    <w:rsid w:val="00F6367D"/>
    <w:rsid w:val="00F84F09"/>
    <w:rsid w:val="00FB2E60"/>
    <w:rsid w:val="00FC7A1F"/>
    <w:rsid w:val="00FD099C"/>
    <w:rsid w:val="00FD432D"/>
    <w:rsid w:val="00FD6770"/>
    <w:rsid w:val="00FF4E6F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C08B"/>
  <w15:docId w15:val="{006DF137-7034-477F-918B-659AD58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771D02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33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vovi">
    <w:name w:val="Stavovi"/>
    <w:basedOn w:val="Normal"/>
    <w:link w:val="StavoviChar"/>
    <w:qFormat/>
    <w:rsid w:val="00D555E0"/>
    <w:pPr>
      <w:numPr>
        <w:numId w:val="2"/>
      </w:numPr>
      <w:spacing w:before="60" w:after="60"/>
      <w:jc w:val="both"/>
    </w:pPr>
    <w:rPr>
      <w:rFonts w:ascii="StobiSerif Regular" w:hAnsi="StobiSerif Regular"/>
      <w:sz w:val="22"/>
      <w:szCs w:val="22"/>
      <w:shd w:val="clear" w:color="auto" w:fill="FFFFFF"/>
      <w:lang w:val="mk-MK" w:eastAsia="mk-MK"/>
    </w:rPr>
  </w:style>
  <w:style w:type="character" w:customStyle="1" w:styleId="StavoviChar">
    <w:name w:val="Stavovi Char"/>
    <w:link w:val="Stavovi"/>
    <w:rsid w:val="00D555E0"/>
    <w:rPr>
      <w:rFonts w:ascii="StobiSerif Regular" w:eastAsia="Times New Roman" w:hAnsi="StobiSerif Regular" w:cs="Times New Roman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E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E45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2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2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2F5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5E6B29C-1F7D-4F5B-B950-CB5F1D10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Trpovska; Tamara  Arminovska</dc:creator>
  <cp:lastModifiedBy>Magdalena Trpovska</cp:lastModifiedBy>
  <cp:revision>5</cp:revision>
  <dcterms:created xsi:type="dcterms:W3CDTF">2020-12-22T14:00:00Z</dcterms:created>
  <dcterms:modified xsi:type="dcterms:W3CDTF">2021-03-29T09:13:00Z</dcterms:modified>
</cp:coreProperties>
</file>